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A5" w:rsidRPr="001929A5" w:rsidRDefault="00C62F60" w:rsidP="00C62F60">
      <w:pPr>
        <w:jc w:val="center"/>
        <w:rPr>
          <w:rFonts w:ascii="Calibri" w:hAnsi="Calibri" w:cs="Calibri"/>
          <w:b/>
          <w:bCs/>
          <w:color w:val="365F92"/>
          <w:sz w:val="30"/>
          <w:szCs w:val="30"/>
        </w:rPr>
      </w:pPr>
      <w:r w:rsidRPr="001929A5">
        <w:rPr>
          <w:rFonts w:ascii="Calibri" w:hAnsi="Calibri" w:cs="Calibri"/>
          <w:b/>
          <w:bCs/>
          <w:color w:val="365F92"/>
          <w:sz w:val="30"/>
          <w:szCs w:val="30"/>
        </w:rPr>
        <w:t xml:space="preserve">Call for </w:t>
      </w:r>
      <w:r w:rsidR="001929A5" w:rsidRPr="001929A5">
        <w:rPr>
          <w:rFonts w:ascii="Calibri" w:hAnsi="Calibri" w:cs="Calibri"/>
          <w:b/>
          <w:bCs/>
          <w:color w:val="365F92"/>
          <w:sz w:val="30"/>
          <w:szCs w:val="30"/>
        </w:rPr>
        <w:t xml:space="preserve">Papers </w:t>
      </w:r>
    </w:p>
    <w:p w:rsidR="005833D6" w:rsidRPr="001929A5" w:rsidRDefault="005833D6" w:rsidP="001929A5">
      <w:pPr>
        <w:jc w:val="center"/>
        <w:rPr>
          <w:rFonts w:ascii="Calibri" w:hAnsi="Calibri" w:cs="Calibri"/>
          <w:b/>
          <w:bCs/>
          <w:color w:val="365F92"/>
          <w:sz w:val="30"/>
          <w:szCs w:val="30"/>
        </w:rPr>
      </w:pPr>
      <w:r w:rsidRPr="001929A5">
        <w:rPr>
          <w:rFonts w:ascii="Calibri" w:hAnsi="Calibri" w:cs="Calibri"/>
          <w:b/>
          <w:bCs/>
          <w:color w:val="365F92"/>
          <w:sz w:val="30"/>
          <w:szCs w:val="30"/>
        </w:rPr>
        <w:t>Global Assessment Report on Disaster Risk Reduction</w:t>
      </w:r>
      <w:r w:rsidR="001929A5" w:rsidRPr="001929A5">
        <w:rPr>
          <w:rFonts w:ascii="Calibri" w:hAnsi="Calibri" w:cs="Calibri"/>
          <w:b/>
          <w:bCs/>
          <w:color w:val="365F92"/>
          <w:sz w:val="30"/>
          <w:szCs w:val="30"/>
        </w:rPr>
        <w:t xml:space="preserve"> 2019</w:t>
      </w:r>
    </w:p>
    <w:p w:rsidR="006B1EDB" w:rsidRPr="006B5BAD" w:rsidRDefault="006B1EDB" w:rsidP="001E1A9A">
      <w:pPr>
        <w:pStyle w:val="Heading2"/>
        <w:spacing w:before="360" w:after="240"/>
      </w:pPr>
      <w:r w:rsidRPr="00C95D72">
        <w:rPr>
          <w:lang w:eastAsia="de-DE"/>
        </w:rPr>
        <w:t>Background</w:t>
      </w:r>
    </w:p>
    <w:p w:rsidR="006B1EDB" w:rsidRPr="006B5BAD" w:rsidRDefault="002632B8" w:rsidP="00135AF6">
      <w:pPr>
        <w:jc w:val="both"/>
        <w:rPr>
          <w:sz w:val="24"/>
          <w:szCs w:val="24"/>
        </w:rPr>
      </w:pPr>
      <w:r w:rsidRPr="006B5BAD">
        <w:rPr>
          <w:sz w:val="24"/>
          <w:szCs w:val="24"/>
        </w:rPr>
        <w:t>The UN Global Assessment Report on Disaster Risk Reduction (GAR) is the flagship report of the United Nations on worldwide efforts to r</w:t>
      </w:r>
      <w:r w:rsidR="006B1EDB" w:rsidRPr="006B5BAD">
        <w:rPr>
          <w:sz w:val="24"/>
          <w:szCs w:val="24"/>
        </w:rPr>
        <w:t xml:space="preserve">educe disaster risk, </w:t>
      </w:r>
      <w:r w:rsidR="006D4E4A">
        <w:rPr>
          <w:sz w:val="24"/>
          <w:szCs w:val="24"/>
        </w:rPr>
        <w:t>and</w:t>
      </w:r>
      <w:r w:rsidR="006D4E4A" w:rsidRPr="006B5BAD">
        <w:rPr>
          <w:sz w:val="24"/>
          <w:szCs w:val="24"/>
        </w:rPr>
        <w:t xml:space="preserve"> </w:t>
      </w:r>
      <w:r w:rsidR="006B1EDB" w:rsidRPr="006B5BAD">
        <w:rPr>
          <w:sz w:val="24"/>
          <w:szCs w:val="24"/>
        </w:rPr>
        <w:t xml:space="preserve">is </w:t>
      </w:r>
      <w:r w:rsidRPr="006B5BAD">
        <w:rPr>
          <w:sz w:val="24"/>
          <w:szCs w:val="24"/>
        </w:rPr>
        <w:t>published biennially by the UN Office for D</w:t>
      </w:r>
      <w:r w:rsidR="006B1EDB" w:rsidRPr="006B5BAD">
        <w:rPr>
          <w:sz w:val="24"/>
          <w:szCs w:val="24"/>
        </w:rPr>
        <w:t>isaster Risk Reduction (UNISDR). The GAR</w:t>
      </w:r>
      <w:r w:rsidRPr="006B5BAD">
        <w:rPr>
          <w:sz w:val="24"/>
          <w:szCs w:val="24"/>
        </w:rPr>
        <w:t xml:space="preserve"> is </w:t>
      </w:r>
      <w:r w:rsidR="006B1EDB" w:rsidRPr="006B5BAD">
        <w:rPr>
          <w:sz w:val="24"/>
          <w:szCs w:val="24"/>
        </w:rPr>
        <w:t>a vehicle to show-case Member States</w:t>
      </w:r>
      <w:r w:rsidR="00135AF6">
        <w:rPr>
          <w:sz w:val="24"/>
          <w:szCs w:val="24"/>
        </w:rPr>
        <w:t>’ and non-State stakeholders’</w:t>
      </w:r>
      <w:r w:rsidR="006B1EDB" w:rsidRPr="006B5BAD">
        <w:rPr>
          <w:sz w:val="24"/>
          <w:szCs w:val="24"/>
        </w:rPr>
        <w:t xml:space="preserve"> progress </w:t>
      </w:r>
      <w:r w:rsidR="00135AF6">
        <w:rPr>
          <w:sz w:val="24"/>
          <w:szCs w:val="24"/>
        </w:rPr>
        <w:t>in implementing</w:t>
      </w:r>
      <w:r w:rsidR="006B1EDB" w:rsidRPr="006B5BAD">
        <w:rPr>
          <w:sz w:val="24"/>
          <w:szCs w:val="24"/>
        </w:rPr>
        <w:t xml:space="preserve"> the Sendai Framework </w:t>
      </w:r>
      <w:r w:rsidR="002B74DD">
        <w:rPr>
          <w:sz w:val="24"/>
          <w:szCs w:val="24"/>
        </w:rPr>
        <w:t xml:space="preserve">for </w:t>
      </w:r>
      <w:r w:rsidR="00135AF6">
        <w:rPr>
          <w:sz w:val="24"/>
          <w:szCs w:val="24"/>
        </w:rPr>
        <w:t>D</w:t>
      </w:r>
      <w:r w:rsidR="002B74DD">
        <w:rPr>
          <w:sz w:val="24"/>
          <w:szCs w:val="24"/>
        </w:rPr>
        <w:t xml:space="preserve">isaster </w:t>
      </w:r>
      <w:r w:rsidR="00135AF6">
        <w:rPr>
          <w:sz w:val="24"/>
          <w:szCs w:val="24"/>
        </w:rPr>
        <w:t>R</w:t>
      </w:r>
      <w:r w:rsidR="002B74DD">
        <w:rPr>
          <w:sz w:val="24"/>
          <w:szCs w:val="24"/>
        </w:rPr>
        <w:t xml:space="preserve">isk </w:t>
      </w:r>
      <w:r w:rsidR="00135AF6">
        <w:rPr>
          <w:sz w:val="24"/>
          <w:szCs w:val="24"/>
        </w:rPr>
        <w:t>R</w:t>
      </w:r>
      <w:r w:rsidR="002B74DD">
        <w:rPr>
          <w:sz w:val="24"/>
          <w:szCs w:val="24"/>
        </w:rPr>
        <w:t xml:space="preserve">eduction </w:t>
      </w:r>
      <w:r w:rsidR="006B1EDB" w:rsidRPr="006B5BAD">
        <w:rPr>
          <w:sz w:val="24"/>
          <w:szCs w:val="24"/>
        </w:rPr>
        <w:t xml:space="preserve">as well as </w:t>
      </w:r>
      <w:r w:rsidR="00135AF6">
        <w:rPr>
          <w:sz w:val="24"/>
          <w:szCs w:val="24"/>
        </w:rPr>
        <w:t xml:space="preserve">the </w:t>
      </w:r>
      <w:r w:rsidR="006B1EDB" w:rsidRPr="006B5BAD">
        <w:rPr>
          <w:sz w:val="24"/>
          <w:szCs w:val="24"/>
        </w:rPr>
        <w:t xml:space="preserve">disaster-related targets of the SDGs, </w:t>
      </w:r>
      <w:r w:rsidR="00771588">
        <w:rPr>
          <w:sz w:val="24"/>
          <w:szCs w:val="24"/>
        </w:rPr>
        <w:t xml:space="preserve">to </w:t>
      </w:r>
      <w:r w:rsidR="006B1EDB" w:rsidRPr="006B5BAD">
        <w:rPr>
          <w:sz w:val="24"/>
          <w:szCs w:val="24"/>
        </w:rPr>
        <w:t>assess global risk trends</w:t>
      </w:r>
      <w:r w:rsidR="00771588">
        <w:rPr>
          <w:sz w:val="24"/>
          <w:szCs w:val="24"/>
        </w:rPr>
        <w:t>,</w:t>
      </w:r>
      <w:r w:rsidR="006B1EDB" w:rsidRPr="006B5BAD">
        <w:rPr>
          <w:sz w:val="24"/>
          <w:szCs w:val="24"/>
        </w:rPr>
        <w:t xml:space="preserve"> and </w:t>
      </w:r>
      <w:r w:rsidR="00771588">
        <w:rPr>
          <w:sz w:val="24"/>
          <w:szCs w:val="24"/>
        </w:rPr>
        <w:t xml:space="preserve">to </w:t>
      </w:r>
      <w:r w:rsidR="006B1EDB" w:rsidRPr="006B5BAD">
        <w:rPr>
          <w:sz w:val="24"/>
          <w:szCs w:val="24"/>
        </w:rPr>
        <w:t xml:space="preserve">present innovative research and </w:t>
      </w:r>
      <w:r w:rsidR="00771588">
        <w:rPr>
          <w:sz w:val="24"/>
          <w:szCs w:val="24"/>
        </w:rPr>
        <w:t>knowledge</w:t>
      </w:r>
      <w:r w:rsidR="00771588" w:rsidRPr="006B5BAD">
        <w:rPr>
          <w:sz w:val="24"/>
          <w:szCs w:val="24"/>
        </w:rPr>
        <w:t xml:space="preserve"> </w:t>
      </w:r>
      <w:r w:rsidR="006B1EDB" w:rsidRPr="006B5BAD">
        <w:rPr>
          <w:sz w:val="24"/>
          <w:szCs w:val="24"/>
        </w:rPr>
        <w:t xml:space="preserve">to </w:t>
      </w:r>
      <w:r w:rsidR="00771588">
        <w:rPr>
          <w:sz w:val="24"/>
          <w:szCs w:val="24"/>
        </w:rPr>
        <w:t xml:space="preserve">enhance </w:t>
      </w:r>
      <w:r w:rsidR="006B1EDB" w:rsidRPr="006B5BAD">
        <w:rPr>
          <w:sz w:val="24"/>
          <w:szCs w:val="24"/>
        </w:rPr>
        <w:t>understand</w:t>
      </w:r>
      <w:r w:rsidR="00771588">
        <w:rPr>
          <w:sz w:val="24"/>
          <w:szCs w:val="24"/>
        </w:rPr>
        <w:t>ing of disaster risk in all its dimensions</w:t>
      </w:r>
      <w:r w:rsidR="00135AF6">
        <w:rPr>
          <w:sz w:val="24"/>
          <w:szCs w:val="24"/>
        </w:rPr>
        <w:t>.  All with the objective to support</w:t>
      </w:r>
      <w:r w:rsidR="00771588">
        <w:rPr>
          <w:sz w:val="24"/>
          <w:szCs w:val="24"/>
        </w:rPr>
        <w:t xml:space="preserve"> </w:t>
      </w:r>
      <w:r w:rsidR="006B1EDB" w:rsidRPr="006B5BAD">
        <w:rPr>
          <w:sz w:val="24"/>
          <w:szCs w:val="24"/>
        </w:rPr>
        <w:t>risk</w:t>
      </w:r>
      <w:r w:rsidR="00771588">
        <w:rPr>
          <w:sz w:val="24"/>
          <w:szCs w:val="24"/>
        </w:rPr>
        <w:t xml:space="preserve"> reduction efforts</w:t>
      </w:r>
      <w:r w:rsidR="00135AF6">
        <w:rPr>
          <w:sz w:val="24"/>
          <w:szCs w:val="24"/>
        </w:rPr>
        <w:t xml:space="preserve"> globally</w:t>
      </w:r>
      <w:r w:rsidR="006B1EDB" w:rsidRPr="006B5BAD">
        <w:rPr>
          <w:sz w:val="24"/>
          <w:szCs w:val="24"/>
        </w:rPr>
        <w:t>.</w:t>
      </w:r>
    </w:p>
    <w:p w:rsidR="006B1EDB" w:rsidRPr="006B5BAD" w:rsidRDefault="006B1EDB" w:rsidP="00F06626">
      <w:pPr>
        <w:jc w:val="both"/>
        <w:rPr>
          <w:sz w:val="24"/>
          <w:szCs w:val="24"/>
        </w:rPr>
      </w:pPr>
      <w:r w:rsidRPr="006B5BAD">
        <w:rPr>
          <w:sz w:val="24"/>
          <w:szCs w:val="24"/>
        </w:rPr>
        <w:t xml:space="preserve">Developed through an extensive set of partnerships with international organizations, governments, businesses, academic and research institutions, the GAR is </w:t>
      </w:r>
      <w:r w:rsidR="00771588">
        <w:rPr>
          <w:sz w:val="24"/>
          <w:szCs w:val="24"/>
        </w:rPr>
        <w:t>both an</w:t>
      </w:r>
      <w:r w:rsidR="00771588" w:rsidRPr="006B5BAD">
        <w:rPr>
          <w:sz w:val="24"/>
          <w:szCs w:val="24"/>
        </w:rPr>
        <w:t xml:space="preserve"> </w:t>
      </w:r>
      <w:r w:rsidRPr="006B5BAD">
        <w:rPr>
          <w:sz w:val="24"/>
          <w:szCs w:val="24"/>
        </w:rPr>
        <w:t>ongoing process of evidence generation and policy engagement</w:t>
      </w:r>
      <w:r w:rsidR="00771588">
        <w:rPr>
          <w:sz w:val="24"/>
          <w:szCs w:val="24"/>
        </w:rPr>
        <w:t>, as well as biennial opportunity to showcase and report</w:t>
      </w:r>
      <w:r w:rsidRPr="006B5BAD">
        <w:rPr>
          <w:sz w:val="24"/>
          <w:szCs w:val="24"/>
        </w:rPr>
        <w:t xml:space="preserve">. </w:t>
      </w:r>
    </w:p>
    <w:p w:rsidR="002632B8" w:rsidRPr="006B5BAD" w:rsidRDefault="00771588" w:rsidP="00B04B79">
      <w:pPr>
        <w:jc w:val="both"/>
        <w:rPr>
          <w:sz w:val="24"/>
          <w:szCs w:val="24"/>
        </w:rPr>
      </w:pPr>
      <w:r>
        <w:rPr>
          <w:sz w:val="24"/>
          <w:szCs w:val="24"/>
        </w:rPr>
        <w:t>In so doing, it</w:t>
      </w:r>
      <w:r w:rsidR="006B1EDB" w:rsidRPr="006B5BAD">
        <w:rPr>
          <w:sz w:val="24"/>
          <w:szCs w:val="24"/>
        </w:rPr>
        <w:t xml:space="preserve"> </w:t>
      </w:r>
      <w:r>
        <w:rPr>
          <w:sz w:val="24"/>
          <w:szCs w:val="24"/>
        </w:rPr>
        <w:t>promotes</w:t>
      </w:r>
      <w:r w:rsidR="006B1EDB" w:rsidRPr="006B5BAD">
        <w:rPr>
          <w:sz w:val="24"/>
          <w:szCs w:val="24"/>
        </w:rPr>
        <w:t xml:space="preserve"> access to risk information for decision-making, and identifies feasible practices that can be employed at the local, national, regional and international levels. </w:t>
      </w:r>
      <w:r>
        <w:rPr>
          <w:sz w:val="24"/>
          <w:szCs w:val="24"/>
        </w:rPr>
        <w:t>The report contributes</w:t>
      </w:r>
      <w:r w:rsidR="006B1EDB" w:rsidRPr="006B5BAD">
        <w:rPr>
          <w:sz w:val="24"/>
          <w:szCs w:val="24"/>
        </w:rPr>
        <w:t xml:space="preserve"> to the </w:t>
      </w:r>
      <w:r>
        <w:rPr>
          <w:sz w:val="24"/>
          <w:szCs w:val="24"/>
        </w:rPr>
        <w:t>biennial</w:t>
      </w:r>
      <w:r w:rsidRPr="006B5BAD">
        <w:rPr>
          <w:sz w:val="24"/>
          <w:szCs w:val="24"/>
        </w:rPr>
        <w:t xml:space="preserve"> </w:t>
      </w:r>
      <w:r w:rsidR="00135AF6">
        <w:rPr>
          <w:sz w:val="24"/>
          <w:szCs w:val="24"/>
        </w:rPr>
        <w:t xml:space="preserve">Regional and </w:t>
      </w:r>
      <w:r w:rsidR="006B1EDB" w:rsidRPr="006B5BAD">
        <w:rPr>
          <w:sz w:val="24"/>
          <w:szCs w:val="24"/>
        </w:rPr>
        <w:t>Global Platform</w:t>
      </w:r>
      <w:r w:rsidR="00135AF6">
        <w:rPr>
          <w:sz w:val="24"/>
          <w:szCs w:val="24"/>
        </w:rPr>
        <w:t>s</w:t>
      </w:r>
      <w:r w:rsidR="006B1EDB" w:rsidRPr="006B5BAD">
        <w:rPr>
          <w:sz w:val="24"/>
          <w:szCs w:val="24"/>
        </w:rPr>
        <w:t xml:space="preserve"> for Disaster Risk Reduction, and the High Level Political Forum on Sustainable Development</w:t>
      </w:r>
      <w:r>
        <w:rPr>
          <w:sz w:val="24"/>
          <w:szCs w:val="24"/>
        </w:rPr>
        <w:t>. Progress reporting that is provided</w:t>
      </w:r>
      <w:r w:rsidRPr="00771588">
        <w:rPr>
          <w:sz w:val="24"/>
          <w:szCs w:val="24"/>
        </w:rPr>
        <w:t xml:space="preserve"> </w:t>
      </w:r>
      <w:r>
        <w:rPr>
          <w:sz w:val="24"/>
          <w:szCs w:val="24"/>
        </w:rPr>
        <w:t>by countries through the Sendai Framework Monitor</w:t>
      </w:r>
      <w:r w:rsidR="00135AF6">
        <w:rPr>
          <w:sz w:val="24"/>
          <w:szCs w:val="24"/>
        </w:rPr>
        <w:t xml:space="preserve"> System</w:t>
      </w:r>
      <w:r>
        <w:rPr>
          <w:sz w:val="24"/>
          <w:szCs w:val="24"/>
        </w:rPr>
        <w:t>, is captured in the GAR as well as the annual Report</w:t>
      </w:r>
      <w:r w:rsidR="00B04B79">
        <w:rPr>
          <w:sz w:val="24"/>
          <w:szCs w:val="24"/>
        </w:rPr>
        <w:t xml:space="preserve"> on the SDGs</w:t>
      </w:r>
      <w:r>
        <w:rPr>
          <w:sz w:val="24"/>
          <w:szCs w:val="24"/>
        </w:rPr>
        <w:t>.</w:t>
      </w:r>
    </w:p>
    <w:p w:rsidR="006B1EDB" w:rsidRPr="00C95D72" w:rsidRDefault="006B1EDB" w:rsidP="001E1A9A">
      <w:pPr>
        <w:pStyle w:val="Heading2"/>
        <w:spacing w:before="360" w:after="240"/>
        <w:rPr>
          <w:lang w:eastAsia="de-DE"/>
        </w:rPr>
      </w:pPr>
      <w:r w:rsidRPr="00C95D72">
        <w:rPr>
          <w:lang w:eastAsia="de-DE"/>
        </w:rPr>
        <w:t>Structure</w:t>
      </w:r>
    </w:p>
    <w:p w:rsidR="00CD6910" w:rsidRPr="008D13B3" w:rsidRDefault="002632B8" w:rsidP="00F06626">
      <w:pPr>
        <w:jc w:val="both"/>
        <w:rPr>
          <w:sz w:val="24"/>
          <w:szCs w:val="24"/>
        </w:rPr>
      </w:pPr>
      <w:r w:rsidRPr="008D13B3">
        <w:rPr>
          <w:sz w:val="24"/>
          <w:szCs w:val="24"/>
        </w:rPr>
        <w:t xml:space="preserve">The </w:t>
      </w:r>
      <w:r w:rsidR="007A71C7" w:rsidRPr="008D13B3">
        <w:rPr>
          <w:sz w:val="24"/>
          <w:szCs w:val="24"/>
        </w:rPr>
        <w:t xml:space="preserve">2019 </w:t>
      </w:r>
      <w:r w:rsidR="006B1EDB" w:rsidRPr="008D13B3">
        <w:rPr>
          <w:sz w:val="24"/>
          <w:szCs w:val="24"/>
        </w:rPr>
        <w:t>UN Global Assessment Report on Disaster Risk Reduction</w:t>
      </w:r>
      <w:r w:rsidR="00CD6910" w:rsidRPr="008D13B3">
        <w:rPr>
          <w:rFonts w:ascii="Calibri" w:hAnsi="Calibri" w:cs="Calibri"/>
          <w:sz w:val="24"/>
          <w:szCs w:val="24"/>
        </w:rPr>
        <w:t xml:space="preserve"> </w:t>
      </w:r>
      <w:r w:rsidR="006B1EDB" w:rsidRPr="008D13B3">
        <w:rPr>
          <w:rFonts w:ascii="Calibri" w:hAnsi="Calibri" w:cs="Calibri"/>
          <w:sz w:val="24"/>
          <w:szCs w:val="24"/>
        </w:rPr>
        <w:t>(</w:t>
      </w:r>
      <w:r w:rsidR="00CD6910" w:rsidRPr="008D13B3">
        <w:rPr>
          <w:rFonts w:ascii="Calibri" w:hAnsi="Calibri" w:cs="Calibri"/>
          <w:sz w:val="24"/>
          <w:szCs w:val="24"/>
        </w:rPr>
        <w:t>GAR19</w:t>
      </w:r>
      <w:r w:rsidR="006B1EDB" w:rsidRPr="008D13B3">
        <w:rPr>
          <w:rFonts w:ascii="Calibri" w:hAnsi="Calibri" w:cs="Calibri"/>
          <w:sz w:val="24"/>
          <w:szCs w:val="24"/>
        </w:rPr>
        <w:t>)</w:t>
      </w:r>
      <w:r w:rsidR="00CD6910" w:rsidRPr="008D13B3">
        <w:rPr>
          <w:rFonts w:ascii="Calibri" w:hAnsi="Calibri" w:cs="Calibri"/>
          <w:sz w:val="24"/>
          <w:szCs w:val="24"/>
        </w:rPr>
        <w:t xml:space="preserve"> </w:t>
      </w:r>
      <w:r w:rsidR="007A71C7" w:rsidRPr="008D13B3">
        <w:rPr>
          <w:rFonts w:ascii="Calibri" w:hAnsi="Calibri" w:cs="Calibri"/>
          <w:sz w:val="24"/>
          <w:szCs w:val="24"/>
        </w:rPr>
        <w:t>entails</w:t>
      </w:r>
      <w:r w:rsidR="00CD6910" w:rsidRPr="008D13B3">
        <w:rPr>
          <w:rFonts w:ascii="Calibri" w:hAnsi="Calibri" w:cs="Calibri"/>
          <w:sz w:val="24"/>
          <w:szCs w:val="24"/>
        </w:rPr>
        <w:t xml:space="preserve"> four chapters: </w:t>
      </w:r>
    </w:p>
    <w:p w:rsidR="007A71C7" w:rsidRPr="001E1A9A" w:rsidRDefault="007A71C7" w:rsidP="007A71C7">
      <w:pPr>
        <w:pStyle w:val="ListParagraph"/>
        <w:numPr>
          <w:ilvl w:val="0"/>
          <w:numId w:val="6"/>
        </w:numPr>
        <w:tabs>
          <w:tab w:val="left" w:pos="567"/>
        </w:tabs>
        <w:spacing w:line="240" w:lineRule="auto"/>
        <w:ind w:left="567" w:hanging="567"/>
        <w:contextualSpacing w:val="0"/>
        <w:jc w:val="both"/>
        <w:rPr>
          <w:b/>
          <w:sz w:val="24"/>
          <w:szCs w:val="24"/>
        </w:rPr>
      </w:pPr>
      <w:r w:rsidRPr="001E1A9A">
        <w:rPr>
          <w:b/>
          <w:sz w:val="24"/>
          <w:szCs w:val="24"/>
        </w:rPr>
        <w:t xml:space="preserve">Implementation of the Sendai Framework for Disaster Risk Reduction and disaster risk-informed Sustainable Development:  </w:t>
      </w:r>
      <w:r w:rsidRPr="001E1A9A">
        <w:rPr>
          <w:bCs/>
          <w:sz w:val="24"/>
          <w:szCs w:val="24"/>
        </w:rPr>
        <w:t xml:space="preserve">a review of global, regional, national and local </w:t>
      </w:r>
      <w:proofErr w:type="gramStart"/>
      <w:r w:rsidRPr="001E1A9A">
        <w:rPr>
          <w:bCs/>
          <w:sz w:val="24"/>
          <w:szCs w:val="24"/>
        </w:rPr>
        <w:t>progress</w:t>
      </w:r>
      <w:proofErr w:type="gramEnd"/>
      <w:r w:rsidRPr="001E1A9A">
        <w:rPr>
          <w:bCs/>
          <w:sz w:val="24"/>
          <w:szCs w:val="24"/>
        </w:rPr>
        <w:t xml:space="preserve"> and challenges, including in support of the 2030 Agenda, the Paris Agreement and the New Urban Agenda.</w:t>
      </w:r>
    </w:p>
    <w:p w:rsidR="007A71C7" w:rsidRPr="001E1A9A" w:rsidRDefault="007A71C7" w:rsidP="007A71C7">
      <w:pPr>
        <w:pStyle w:val="ListParagraph"/>
        <w:numPr>
          <w:ilvl w:val="0"/>
          <w:numId w:val="6"/>
        </w:numPr>
        <w:tabs>
          <w:tab w:val="left" w:pos="567"/>
        </w:tabs>
        <w:spacing w:line="240" w:lineRule="auto"/>
        <w:ind w:left="567" w:hanging="567"/>
        <w:contextualSpacing w:val="0"/>
        <w:jc w:val="both"/>
        <w:rPr>
          <w:b/>
          <w:sz w:val="24"/>
          <w:szCs w:val="24"/>
        </w:rPr>
      </w:pPr>
      <w:r w:rsidRPr="001E1A9A">
        <w:rPr>
          <w:b/>
          <w:sz w:val="24"/>
          <w:szCs w:val="24"/>
        </w:rPr>
        <w:t>Global risk trends:</w:t>
      </w:r>
      <w:r w:rsidRPr="001E1A9A">
        <w:rPr>
          <w:bCs/>
          <w:sz w:val="24"/>
          <w:szCs w:val="24"/>
        </w:rPr>
        <w:t xml:space="preserve">  patterns and trends in global disaster risk and vulnerability – initiating the shift from a single model to a global </w:t>
      </w:r>
      <w:proofErr w:type="spellStart"/>
      <w:r w:rsidRPr="001E1A9A">
        <w:rPr>
          <w:bCs/>
          <w:sz w:val="24"/>
          <w:szCs w:val="24"/>
        </w:rPr>
        <w:t>intercomparison</w:t>
      </w:r>
      <w:proofErr w:type="spellEnd"/>
      <w:r w:rsidRPr="001E1A9A">
        <w:rPr>
          <w:bCs/>
          <w:sz w:val="24"/>
          <w:szCs w:val="24"/>
        </w:rPr>
        <w:t xml:space="preserve"> approach, introducing interactions with systemic risks with an emphasis on drought, and the Global Risk Assessment Framework (GRAF).</w:t>
      </w:r>
    </w:p>
    <w:p w:rsidR="007A71C7" w:rsidRPr="001E1A9A" w:rsidRDefault="007A71C7" w:rsidP="00135AF6">
      <w:pPr>
        <w:pStyle w:val="ListParagraph"/>
        <w:numPr>
          <w:ilvl w:val="0"/>
          <w:numId w:val="6"/>
        </w:numPr>
        <w:tabs>
          <w:tab w:val="left" w:pos="567"/>
        </w:tabs>
        <w:spacing w:line="240" w:lineRule="auto"/>
        <w:ind w:left="567" w:hanging="567"/>
        <w:contextualSpacing w:val="0"/>
        <w:jc w:val="both"/>
        <w:rPr>
          <w:b/>
          <w:sz w:val="24"/>
          <w:szCs w:val="24"/>
        </w:rPr>
      </w:pPr>
      <w:r w:rsidRPr="001E1A9A">
        <w:rPr>
          <w:b/>
          <w:sz w:val="24"/>
          <w:szCs w:val="24"/>
        </w:rPr>
        <w:lastRenderedPageBreak/>
        <w:t>Creating the national and local conditions to manage risk:</w:t>
      </w:r>
      <w:r w:rsidRPr="001E1A9A">
        <w:rPr>
          <w:bCs/>
          <w:sz w:val="24"/>
          <w:szCs w:val="24"/>
        </w:rPr>
        <w:t xml:space="preserve">  reaching Sendai Framework Target E</w:t>
      </w:r>
      <w:r w:rsidR="00135AF6">
        <w:rPr>
          <w:bCs/>
          <w:sz w:val="24"/>
          <w:szCs w:val="24"/>
        </w:rPr>
        <w:t xml:space="preserve"> - </w:t>
      </w:r>
      <w:r w:rsidR="00135AF6">
        <w:rPr>
          <w:bCs/>
        </w:rPr>
        <w:t>Substantially increase the number of countries with national and local disaster risk reduction strategies</w:t>
      </w:r>
      <w:r w:rsidRPr="001E1A9A">
        <w:rPr>
          <w:bCs/>
          <w:sz w:val="24"/>
          <w:szCs w:val="24"/>
        </w:rPr>
        <w:t>, exploring progress in establishing the basis for national and local risk-informed decision-making and investment across all-of-State-institutions at national and local levels.</w:t>
      </w:r>
    </w:p>
    <w:p w:rsidR="007A71C7" w:rsidRPr="001E1A9A" w:rsidRDefault="007A71C7" w:rsidP="007A71C7">
      <w:pPr>
        <w:pStyle w:val="ListParagraph"/>
        <w:numPr>
          <w:ilvl w:val="0"/>
          <w:numId w:val="6"/>
        </w:numPr>
        <w:tabs>
          <w:tab w:val="left" w:pos="567"/>
        </w:tabs>
        <w:spacing w:line="240" w:lineRule="auto"/>
        <w:ind w:left="567" w:hanging="567"/>
        <w:contextualSpacing w:val="0"/>
        <w:jc w:val="both"/>
        <w:rPr>
          <w:rFonts w:asciiTheme="minorHAnsi" w:hAnsiTheme="minorHAnsi"/>
          <w:b/>
          <w:sz w:val="24"/>
          <w:szCs w:val="24"/>
        </w:rPr>
      </w:pPr>
      <w:r w:rsidRPr="001E1A9A">
        <w:rPr>
          <w:rFonts w:asciiTheme="minorHAnsi" w:hAnsiTheme="minorHAnsi"/>
          <w:b/>
          <w:bCs/>
          <w:sz w:val="24"/>
          <w:szCs w:val="24"/>
        </w:rPr>
        <w:t xml:space="preserve">Introducing the hazard and risk scope of the Sendai Framework:  </w:t>
      </w:r>
      <w:r w:rsidRPr="001E1A9A">
        <w:rPr>
          <w:rFonts w:asciiTheme="minorHAnsi" w:hAnsiTheme="minorHAnsi"/>
          <w:bCs/>
          <w:sz w:val="24"/>
          <w:szCs w:val="24"/>
        </w:rPr>
        <w:t xml:space="preserve">introducing </w:t>
      </w:r>
      <w:r w:rsidRPr="001E1A9A">
        <w:rPr>
          <w:sz w:val="24"/>
          <w:szCs w:val="24"/>
        </w:rPr>
        <w:t>biological, technological and environmental hazards and risks</w:t>
      </w:r>
      <w:r w:rsidRPr="001E1A9A">
        <w:rPr>
          <w:rFonts w:asciiTheme="minorHAnsi" w:hAnsiTheme="minorHAnsi"/>
          <w:bCs/>
          <w:sz w:val="24"/>
          <w:szCs w:val="24"/>
        </w:rPr>
        <w:t xml:space="preserve"> – identifying impacts, interrelationships with natural hazards, and existing measures – and providing a </w:t>
      </w:r>
      <w:r w:rsidRPr="001E1A9A">
        <w:rPr>
          <w:rFonts w:asciiTheme="minorHAnsi" w:hAnsiTheme="minorHAnsi"/>
          <w:sz w:val="24"/>
          <w:szCs w:val="24"/>
        </w:rPr>
        <w:t>preliminary investigation of the dynamic interactions with systemic risks that shape the interface with the Sendai Framework and other international agreements.</w:t>
      </w:r>
    </w:p>
    <w:p w:rsidR="006B5BAD" w:rsidRPr="001E1A9A" w:rsidRDefault="006B5BAD" w:rsidP="001E1A9A">
      <w:pPr>
        <w:pStyle w:val="Heading2"/>
        <w:spacing w:before="360" w:after="240"/>
        <w:rPr>
          <w:rFonts w:eastAsia="SimSun" w:cstheme="majorHAnsi"/>
          <w:color w:val="4F81BD"/>
          <w:lang w:eastAsia="de-DE"/>
        </w:rPr>
      </w:pPr>
      <w:r w:rsidRPr="001E1A9A">
        <w:rPr>
          <w:rFonts w:eastAsia="SimSun" w:cstheme="majorHAnsi"/>
          <w:color w:val="4F81BD"/>
          <w:lang w:eastAsia="de-DE"/>
        </w:rPr>
        <w:t>Purpose</w:t>
      </w:r>
    </w:p>
    <w:p w:rsidR="0087258A" w:rsidRPr="00CD6910" w:rsidRDefault="0087258A" w:rsidP="00135AF6">
      <w:pPr>
        <w:rPr>
          <w:rFonts w:ascii="Calibri" w:eastAsia="Times New Roman" w:hAnsi="Calibri" w:cs="Calibri"/>
          <w:color w:val="000000" w:themeColor="text1"/>
          <w:sz w:val="24"/>
          <w:szCs w:val="24"/>
        </w:rPr>
      </w:pPr>
      <w:r w:rsidRPr="00CD6910">
        <w:rPr>
          <w:rFonts w:ascii="Calibri" w:eastAsia="Times New Roman" w:hAnsi="Calibri" w:cs="Calibri"/>
          <w:color w:val="000000" w:themeColor="text1"/>
          <w:sz w:val="24"/>
          <w:szCs w:val="24"/>
        </w:rPr>
        <w:t xml:space="preserve">The purpose of this Call for </w:t>
      </w:r>
      <w:r w:rsidR="000B4B4D">
        <w:rPr>
          <w:rFonts w:ascii="Calibri" w:eastAsia="Times New Roman" w:hAnsi="Calibri" w:cs="Calibri"/>
          <w:color w:val="000000" w:themeColor="text1"/>
          <w:sz w:val="24"/>
          <w:szCs w:val="24"/>
        </w:rPr>
        <w:t>Papers</w:t>
      </w:r>
      <w:r w:rsidRPr="00CD6910">
        <w:rPr>
          <w:rFonts w:ascii="Calibri" w:eastAsia="Times New Roman" w:hAnsi="Calibri" w:cs="Calibri"/>
          <w:color w:val="000000" w:themeColor="text1"/>
          <w:sz w:val="24"/>
          <w:szCs w:val="24"/>
        </w:rPr>
        <w:t xml:space="preserve"> is to encourage</w:t>
      </w:r>
      <w:r w:rsidR="00950960">
        <w:rPr>
          <w:rFonts w:ascii="Calibri" w:eastAsia="Times New Roman" w:hAnsi="Calibri" w:cs="Calibri"/>
          <w:color w:val="000000" w:themeColor="text1"/>
          <w:sz w:val="24"/>
          <w:szCs w:val="24"/>
        </w:rPr>
        <w:t xml:space="preserve"> </w:t>
      </w:r>
      <w:r w:rsidR="007A71C7">
        <w:rPr>
          <w:rFonts w:ascii="Calibri" w:eastAsia="Times New Roman" w:hAnsi="Calibri" w:cs="Calibri"/>
          <w:color w:val="000000" w:themeColor="text1"/>
          <w:sz w:val="24"/>
          <w:szCs w:val="24"/>
        </w:rPr>
        <w:t xml:space="preserve">additional </w:t>
      </w:r>
      <w:r w:rsidR="00950960">
        <w:rPr>
          <w:rFonts w:ascii="Calibri" w:eastAsia="Times New Roman" w:hAnsi="Calibri" w:cs="Calibri"/>
          <w:color w:val="000000" w:themeColor="text1"/>
          <w:sz w:val="24"/>
          <w:szCs w:val="24"/>
        </w:rPr>
        <w:t xml:space="preserve">research investigating the </w:t>
      </w:r>
      <w:r w:rsidR="007A71C7">
        <w:rPr>
          <w:rFonts w:ascii="Calibri" w:eastAsia="Times New Roman" w:hAnsi="Calibri" w:cs="Calibri"/>
          <w:color w:val="000000" w:themeColor="text1"/>
          <w:sz w:val="24"/>
          <w:szCs w:val="24"/>
        </w:rPr>
        <w:t xml:space="preserve">contributory factors to our understanding of the creation and propagation of disaster risk, as well as the </w:t>
      </w:r>
      <w:proofErr w:type="gramStart"/>
      <w:r w:rsidR="00950960">
        <w:rPr>
          <w:rFonts w:ascii="Calibri" w:eastAsia="Times New Roman" w:hAnsi="Calibri" w:cs="Calibri"/>
          <w:color w:val="000000" w:themeColor="text1"/>
          <w:sz w:val="24"/>
          <w:szCs w:val="24"/>
        </w:rPr>
        <w:t>conducive</w:t>
      </w:r>
      <w:proofErr w:type="gramEnd"/>
      <w:r w:rsidR="00950960">
        <w:rPr>
          <w:rFonts w:ascii="Calibri" w:eastAsia="Times New Roman" w:hAnsi="Calibri" w:cs="Calibri"/>
          <w:color w:val="000000" w:themeColor="text1"/>
          <w:sz w:val="24"/>
          <w:szCs w:val="24"/>
        </w:rPr>
        <w:t xml:space="preserve"> conditions and </w:t>
      </w:r>
      <w:r w:rsidR="007A71C7">
        <w:rPr>
          <w:rFonts w:ascii="Calibri" w:eastAsia="Times New Roman" w:hAnsi="Calibri" w:cs="Calibri"/>
          <w:color w:val="000000" w:themeColor="text1"/>
          <w:sz w:val="24"/>
          <w:szCs w:val="24"/>
        </w:rPr>
        <w:t>impediments</w:t>
      </w:r>
      <w:r w:rsidR="00950960">
        <w:rPr>
          <w:rFonts w:ascii="Calibri" w:eastAsia="Times New Roman" w:hAnsi="Calibri" w:cs="Calibri"/>
          <w:color w:val="000000" w:themeColor="text1"/>
          <w:sz w:val="24"/>
          <w:szCs w:val="24"/>
        </w:rPr>
        <w:t xml:space="preserve"> </w:t>
      </w:r>
      <w:r w:rsidR="007A71C7">
        <w:rPr>
          <w:rFonts w:ascii="Calibri" w:eastAsia="Times New Roman" w:hAnsi="Calibri" w:cs="Calibri"/>
          <w:color w:val="000000" w:themeColor="text1"/>
          <w:sz w:val="24"/>
          <w:szCs w:val="24"/>
        </w:rPr>
        <w:t xml:space="preserve">to the prevention of its </w:t>
      </w:r>
      <w:r w:rsidR="00135AF6">
        <w:rPr>
          <w:rFonts w:ascii="Calibri" w:eastAsia="Times New Roman" w:hAnsi="Calibri" w:cs="Calibri"/>
          <w:color w:val="000000" w:themeColor="text1"/>
          <w:sz w:val="24"/>
          <w:szCs w:val="24"/>
        </w:rPr>
        <w:t>formation</w:t>
      </w:r>
      <w:r w:rsidR="007A71C7">
        <w:rPr>
          <w:rFonts w:ascii="Calibri" w:eastAsia="Times New Roman" w:hAnsi="Calibri" w:cs="Calibri"/>
          <w:color w:val="000000" w:themeColor="text1"/>
          <w:sz w:val="24"/>
          <w:szCs w:val="24"/>
        </w:rPr>
        <w:t>, its reduction</w:t>
      </w:r>
      <w:r w:rsidR="002B74DD">
        <w:rPr>
          <w:rFonts w:ascii="Calibri" w:eastAsia="Times New Roman" w:hAnsi="Calibri" w:cs="Calibri"/>
          <w:color w:val="000000" w:themeColor="text1"/>
          <w:sz w:val="24"/>
          <w:szCs w:val="24"/>
        </w:rPr>
        <w:t xml:space="preserve"> </w:t>
      </w:r>
      <w:r w:rsidR="007A71C7">
        <w:rPr>
          <w:rFonts w:ascii="Calibri" w:eastAsia="Times New Roman" w:hAnsi="Calibri" w:cs="Calibri"/>
          <w:color w:val="000000" w:themeColor="text1"/>
          <w:sz w:val="24"/>
          <w:szCs w:val="24"/>
        </w:rPr>
        <w:t>and the strengthening of the resilience of societies</w:t>
      </w:r>
      <w:r w:rsidR="006B5BAD">
        <w:rPr>
          <w:rFonts w:ascii="Calibri" w:eastAsia="Times New Roman" w:hAnsi="Calibri" w:cs="Calibri"/>
          <w:color w:val="000000" w:themeColor="text1"/>
          <w:sz w:val="24"/>
          <w:szCs w:val="24"/>
        </w:rPr>
        <w:t>.</w:t>
      </w:r>
      <w:r w:rsidR="007A71C7">
        <w:rPr>
          <w:rFonts w:ascii="Calibri" w:eastAsia="Times New Roman" w:hAnsi="Calibri" w:cs="Calibri"/>
          <w:color w:val="000000" w:themeColor="text1"/>
          <w:sz w:val="24"/>
          <w:szCs w:val="24"/>
        </w:rPr>
        <w:t xml:space="preserve"> </w:t>
      </w:r>
      <w:r w:rsidR="006B5BAD">
        <w:rPr>
          <w:rFonts w:ascii="Calibri" w:eastAsia="Times New Roman" w:hAnsi="Calibri" w:cs="Calibri"/>
          <w:color w:val="000000" w:themeColor="text1"/>
          <w:sz w:val="24"/>
          <w:szCs w:val="24"/>
        </w:rPr>
        <w:t xml:space="preserve"> Research will </w:t>
      </w:r>
      <w:r w:rsidR="007A71C7">
        <w:rPr>
          <w:rFonts w:ascii="Calibri" w:eastAsia="Times New Roman" w:hAnsi="Calibri" w:cs="Calibri"/>
          <w:color w:val="000000" w:themeColor="text1"/>
          <w:sz w:val="24"/>
          <w:szCs w:val="24"/>
        </w:rPr>
        <w:t xml:space="preserve">inter alia </w:t>
      </w:r>
      <w:r w:rsidR="006B5BAD">
        <w:rPr>
          <w:rFonts w:ascii="Calibri" w:eastAsia="Times New Roman" w:hAnsi="Calibri" w:cs="Calibri"/>
          <w:color w:val="000000" w:themeColor="text1"/>
          <w:sz w:val="24"/>
          <w:szCs w:val="24"/>
        </w:rPr>
        <w:t xml:space="preserve">provide </w:t>
      </w:r>
      <w:r w:rsidR="007A71C7">
        <w:rPr>
          <w:rFonts w:ascii="Calibri" w:eastAsia="Times New Roman" w:hAnsi="Calibri" w:cs="Calibri"/>
          <w:color w:val="000000" w:themeColor="text1"/>
          <w:sz w:val="24"/>
          <w:szCs w:val="24"/>
        </w:rPr>
        <w:t>insight into the genetics of risk</w:t>
      </w:r>
      <w:r w:rsidR="0032741A">
        <w:rPr>
          <w:rFonts w:ascii="Calibri" w:eastAsia="Times New Roman" w:hAnsi="Calibri" w:cs="Calibri"/>
          <w:color w:val="000000" w:themeColor="text1"/>
          <w:sz w:val="24"/>
          <w:szCs w:val="24"/>
        </w:rPr>
        <w:t xml:space="preserve"> creation and propagation</w:t>
      </w:r>
      <w:r w:rsidR="007A71C7">
        <w:rPr>
          <w:rFonts w:ascii="Calibri" w:eastAsia="Times New Roman" w:hAnsi="Calibri" w:cs="Calibri"/>
          <w:color w:val="000000" w:themeColor="text1"/>
          <w:sz w:val="24"/>
          <w:szCs w:val="24"/>
        </w:rPr>
        <w:t>, identify good</w:t>
      </w:r>
      <w:r w:rsidR="006B5BAD">
        <w:rPr>
          <w:rFonts w:ascii="Calibri" w:eastAsia="Times New Roman" w:hAnsi="Calibri" w:cs="Calibri"/>
          <w:color w:val="000000" w:themeColor="text1"/>
          <w:sz w:val="24"/>
          <w:szCs w:val="24"/>
        </w:rPr>
        <w:t xml:space="preserve"> practices</w:t>
      </w:r>
      <w:r w:rsidR="007A71C7">
        <w:rPr>
          <w:rFonts w:ascii="Calibri" w:eastAsia="Times New Roman" w:hAnsi="Calibri" w:cs="Calibri"/>
          <w:color w:val="000000" w:themeColor="text1"/>
          <w:sz w:val="24"/>
          <w:szCs w:val="24"/>
        </w:rPr>
        <w:t xml:space="preserve"> in managing risk</w:t>
      </w:r>
      <w:r w:rsidR="006B5BAD">
        <w:rPr>
          <w:rFonts w:ascii="Calibri" w:eastAsia="Times New Roman" w:hAnsi="Calibri" w:cs="Calibri"/>
          <w:color w:val="000000" w:themeColor="text1"/>
          <w:sz w:val="24"/>
          <w:szCs w:val="24"/>
        </w:rPr>
        <w:t xml:space="preserve">, </w:t>
      </w:r>
      <w:r w:rsidR="007A71C7">
        <w:rPr>
          <w:rFonts w:ascii="Calibri" w:eastAsia="Times New Roman" w:hAnsi="Calibri" w:cs="Calibri"/>
          <w:color w:val="000000" w:themeColor="text1"/>
          <w:sz w:val="24"/>
          <w:szCs w:val="24"/>
        </w:rPr>
        <w:t xml:space="preserve">highlight </w:t>
      </w:r>
      <w:r w:rsidR="006B5BAD">
        <w:rPr>
          <w:rFonts w:ascii="Calibri" w:eastAsia="Times New Roman" w:hAnsi="Calibri" w:cs="Calibri"/>
          <w:color w:val="000000" w:themeColor="text1"/>
          <w:sz w:val="24"/>
          <w:szCs w:val="24"/>
        </w:rPr>
        <w:t>the impact</w:t>
      </w:r>
      <w:r w:rsidR="0032741A">
        <w:rPr>
          <w:rFonts w:ascii="Calibri" w:eastAsia="Times New Roman" w:hAnsi="Calibri" w:cs="Calibri"/>
          <w:color w:val="000000" w:themeColor="text1"/>
          <w:sz w:val="24"/>
          <w:szCs w:val="24"/>
        </w:rPr>
        <w:t>s</w:t>
      </w:r>
      <w:r w:rsidR="006B5BAD">
        <w:rPr>
          <w:rFonts w:ascii="Calibri" w:eastAsia="Times New Roman" w:hAnsi="Calibri" w:cs="Calibri"/>
          <w:color w:val="000000" w:themeColor="text1"/>
          <w:sz w:val="24"/>
          <w:szCs w:val="24"/>
        </w:rPr>
        <w:t xml:space="preserve"> of disaster risk reduction measures </w:t>
      </w:r>
      <w:r w:rsidR="0032741A">
        <w:rPr>
          <w:rFonts w:ascii="Calibri" w:eastAsia="Times New Roman" w:hAnsi="Calibri" w:cs="Calibri"/>
          <w:color w:val="000000" w:themeColor="text1"/>
          <w:sz w:val="24"/>
          <w:szCs w:val="24"/>
        </w:rPr>
        <w:t xml:space="preserve">at all scales, and explore what </w:t>
      </w:r>
      <w:r w:rsidR="00F943BE">
        <w:rPr>
          <w:rFonts w:ascii="Calibri" w:eastAsia="Times New Roman" w:hAnsi="Calibri" w:cs="Calibri"/>
          <w:color w:val="000000" w:themeColor="text1"/>
          <w:sz w:val="24"/>
          <w:szCs w:val="24"/>
        </w:rPr>
        <w:t>drives risk perception and behavior.</w:t>
      </w:r>
      <w:r w:rsidRPr="00CD6910">
        <w:rPr>
          <w:rFonts w:ascii="Calibri" w:eastAsia="Times New Roman" w:hAnsi="Calibri" w:cs="Calibri"/>
          <w:color w:val="000000" w:themeColor="text1"/>
          <w:sz w:val="24"/>
          <w:szCs w:val="24"/>
        </w:rPr>
        <w:t xml:space="preserve"> </w:t>
      </w:r>
    </w:p>
    <w:p w:rsidR="0032741A" w:rsidRDefault="0032741A" w:rsidP="0032741A">
      <w:pPr>
        <w:pStyle w:val="Heading2"/>
        <w:spacing w:before="360" w:after="240"/>
        <w:rPr>
          <w:rFonts w:eastAsia="SimSun" w:cstheme="majorHAnsi"/>
          <w:color w:val="4F81BD"/>
          <w:lang w:eastAsia="de-DE"/>
        </w:rPr>
      </w:pPr>
      <w:r>
        <w:rPr>
          <w:rFonts w:eastAsia="SimSun" w:cstheme="majorHAnsi"/>
          <w:color w:val="4F81BD"/>
          <w:lang w:eastAsia="de-DE"/>
        </w:rPr>
        <w:t>Common Themes</w:t>
      </w:r>
    </w:p>
    <w:p w:rsidR="0032741A" w:rsidRPr="001E1A9A" w:rsidRDefault="0032741A" w:rsidP="001E1A9A">
      <w:pPr>
        <w:rPr>
          <w:sz w:val="24"/>
          <w:szCs w:val="24"/>
          <w:lang w:eastAsia="de-DE"/>
        </w:rPr>
      </w:pPr>
      <w:r w:rsidRPr="001E1A9A">
        <w:rPr>
          <w:sz w:val="24"/>
          <w:szCs w:val="24"/>
          <w:lang w:eastAsia="de-DE"/>
        </w:rPr>
        <w:t>GAR19 will apply a number of lenses throughout the analysis featured in the report – see below. Authors are invited to consider these when submitting their abstracts:</w:t>
      </w:r>
    </w:p>
    <w:p w:rsidR="0032741A" w:rsidRPr="001E1A9A" w:rsidRDefault="0032741A" w:rsidP="00344D4F">
      <w:pPr>
        <w:pStyle w:val="ListParagraph"/>
        <w:numPr>
          <w:ilvl w:val="0"/>
          <w:numId w:val="24"/>
        </w:numPr>
        <w:spacing w:after="120"/>
        <w:ind w:left="714" w:hanging="357"/>
        <w:contextualSpacing w:val="0"/>
        <w:rPr>
          <w:rFonts w:asciiTheme="minorHAnsi" w:hAnsiTheme="minorHAnsi" w:cstheme="minorHAnsi"/>
          <w:sz w:val="24"/>
          <w:szCs w:val="24"/>
          <w:lang w:eastAsia="de-DE"/>
        </w:rPr>
      </w:pPr>
      <w:r w:rsidRPr="001E1A9A">
        <w:rPr>
          <w:rFonts w:asciiTheme="minorHAnsi" w:hAnsiTheme="minorHAnsi" w:cstheme="minorHAnsi"/>
          <w:b/>
          <w:bCs/>
          <w:sz w:val="24"/>
          <w:szCs w:val="24"/>
          <w:lang w:eastAsia="de-DE"/>
        </w:rPr>
        <w:t>Coherence</w:t>
      </w:r>
      <w:r w:rsidRPr="001E1A9A">
        <w:rPr>
          <w:rFonts w:asciiTheme="minorHAnsi" w:hAnsiTheme="minorHAnsi" w:cstheme="minorHAnsi"/>
          <w:sz w:val="24"/>
          <w:szCs w:val="24"/>
          <w:lang w:eastAsia="de-DE"/>
        </w:rPr>
        <w:t xml:space="preserve"> – integrated risk informed and sustainable development pathways; contributions to the achievement of the goals and outcomes of the 2030 Agenda for Sustainable Development, the Paris Agreement and the New Urban Agenda.</w:t>
      </w:r>
    </w:p>
    <w:p w:rsidR="0032741A" w:rsidRPr="001E1A9A" w:rsidRDefault="0032741A" w:rsidP="00344D4F">
      <w:pPr>
        <w:pStyle w:val="ListParagraph"/>
        <w:numPr>
          <w:ilvl w:val="0"/>
          <w:numId w:val="24"/>
        </w:numPr>
        <w:spacing w:after="120"/>
        <w:ind w:left="714" w:hanging="357"/>
        <w:contextualSpacing w:val="0"/>
        <w:rPr>
          <w:rFonts w:asciiTheme="minorHAnsi" w:hAnsiTheme="minorHAnsi" w:cstheme="minorHAnsi"/>
          <w:sz w:val="24"/>
          <w:szCs w:val="24"/>
          <w:lang w:eastAsia="de-DE"/>
        </w:rPr>
      </w:pPr>
      <w:r w:rsidRPr="001E1A9A">
        <w:rPr>
          <w:rFonts w:asciiTheme="minorHAnsi" w:hAnsiTheme="minorHAnsi" w:cstheme="minorHAnsi"/>
          <w:b/>
          <w:bCs/>
          <w:sz w:val="24"/>
          <w:szCs w:val="24"/>
          <w:lang w:eastAsia="de-DE"/>
        </w:rPr>
        <w:t>Inclusion</w:t>
      </w:r>
      <w:r w:rsidRPr="001E1A9A">
        <w:rPr>
          <w:rFonts w:asciiTheme="minorHAnsi" w:hAnsiTheme="minorHAnsi" w:cstheme="minorHAnsi"/>
          <w:sz w:val="24"/>
          <w:szCs w:val="24"/>
          <w:lang w:eastAsia="de-DE"/>
        </w:rPr>
        <w:t xml:space="preserve"> – consistent with the theme of the 2019 High Level Political Forum on Sustainable Development - </w:t>
      </w:r>
      <w:r w:rsidRPr="001E1A9A">
        <w:rPr>
          <w:rFonts w:asciiTheme="minorHAnsi" w:hAnsiTheme="minorHAnsi" w:cstheme="minorHAnsi" w:hint="eastAsia"/>
          <w:i/>
          <w:iCs/>
          <w:sz w:val="24"/>
          <w:szCs w:val="24"/>
          <w:lang/>
        </w:rPr>
        <w:t>Empowering people and ensuring inclusiveness and equality</w:t>
      </w:r>
      <w:r w:rsidRPr="001E1A9A">
        <w:rPr>
          <w:rFonts w:asciiTheme="minorHAnsi" w:hAnsiTheme="minorHAnsi" w:cstheme="minorHAnsi"/>
          <w:i/>
          <w:iCs/>
          <w:sz w:val="24"/>
          <w:szCs w:val="24"/>
          <w:lang/>
        </w:rPr>
        <w:t>.</w:t>
      </w:r>
    </w:p>
    <w:p w:rsidR="0032741A" w:rsidRPr="001E1A9A" w:rsidRDefault="0032741A" w:rsidP="00344D4F">
      <w:pPr>
        <w:pStyle w:val="ListParagraph"/>
        <w:numPr>
          <w:ilvl w:val="0"/>
          <w:numId w:val="24"/>
        </w:numPr>
        <w:spacing w:after="120"/>
        <w:ind w:left="714" w:hanging="357"/>
        <w:contextualSpacing w:val="0"/>
        <w:rPr>
          <w:rFonts w:asciiTheme="minorHAnsi" w:hAnsiTheme="minorHAnsi" w:cstheme="minorHAnsi"/>
          <w:sz w:val="24"/>
          <w:szCs w:val="24"/>
          <w:lang w:eastAsia="de-DE"/>
        </w:rPr>
      </w:pPr>
      <w:r w:rsidRPr="001E1A9A">
        <w:rPr>
          <w:rFonts w:asciiTheme="minorHAnsi" w:hAnsiTheme="minorHAnsi" w:cstheme="minorHAnsi"/>
          <w:b/>
          <w:bCs/>
          <w:sz w:val="24"/>
          <w:szCs w:val="24"/>
          <w:lang w:eastAsia="de-DE"/>
        </w:rPr>
        <w:t>Systems risk</w:t>
      </w:r>
      <w:r w:rsidRPr="001E1A9A">
        <w:rPr>
          <w:rFonts w:asciiTheme="minorHAnsi" w:hAnsiTheme="minorHAnsi" w:cstheme="minorHAnsi"/>
          <w:sz w:val="24"/>
          <w:szCs w:val="24"/>
          <w:lang w:eastAsia="de-DE"/>
        </w:rPr>
        <w:t xml:space="preserve"> – disaster risk and its dynamic interactions with social, ecological, economic and political systems.</w:t>
      </w:r>
    </w:p>
    <w:p w:rsidR="0032741A" w:rsidRPr="001E1A9A" w:rsidRDefault="0032741A" w:rsidP="001E1A9A">
      <w:pPr>
        <w:pStyle w:val="ListParagraph"/>
        <w:numPr>
          <w:ilvl w:val="0"/>
          <w:numId w:val="24"/>
        </w:numPr>
        <w:rPr>
          <w:rFonts w:asciiTheme="minorHAnsi" w:hAnsiTheme="minorHAnsi" w:cstheme="minorHAnsi"/>
          <w:sz w:val="24"/>
          <w:szCs w:val="24"/>
          <w:lang w:eastAsia="de-DE"/>
        </w:rPr>
      </w:pPr>
      <w:r w:rsidRPr="001E1A9A">
        <w:rPr>
          <w:rFonts w:asciiTheme="minorHAnsi" w:hAnsiTheme="minorHAnsi" w:cstheme="minorHAnsi"/>
          <w:b/>
          <w:bCs/>
          <w:sz w:val="24"/>
          <w:szCs w:val="24"/>
          <w:lang w:eastAsia="de-DE"/>
        </w:rPr>
        <w:t>Behavior</w:t>
      </w:r>
      <w:r w:rsidRPr="001E1A9A">
        <w:rPr>
          <w:rFonts w:asciiTheme="minorHAnsi" w:hAnsiTheme="minorHAnsi" w:cstheme="minorHAnsi"/>
          <w:sz w:val="24"/>
          <w:szCs w:val="24"/>
          <w:lang w:eastAsia="de-DE"/>
        </w:rPr>
        <w:t xml:space="preserve"> </w:t>
      </w:r>
      <w:r w:rsidR="00F30FE8" w:rsidRPr="001E1A9A">
        <w:rPr>
          <w:rFonts w:asciiTheme="minorHAnsi" w:hAnsiTheme="minorHAnsi" w:cstheme="minorHAnsi"/>
          <w:sz w:val="24"/>
          <w:szCs w:val="24"/>
          <w:lang w:eastAsia="de-DE"/>
        </w:rPr>
        <w:t>–</w:t>
      </w:r>
      <w:r w:rsidRPr="001E1A9A">
        <w:rPr>
          <w:rFonts w:asciiTheme="minorHAnsi" w:hAnsiTheme="minorHAnsi" w:cstheme="minorHAnsi"/>
          <w:sz w:val="24"/>
          <w:szCs w:val="24"/>
          <w:lang w:eastAsia="de-DE"/>
        </w:rPr>
        <w:t xml:space="preserve"> </w:t>
      </w:r>
      <w:r w:rsidR="00F30FE8" w:rsidRPr="001E1A9A">
        <w:rPr>
          <w:rFonts w:asciiTheme="minorHAnsi" w:hAnsiTheme="minorHAnsi" w:cstheme="minorHAnsi"/>
          <w:sz w:val="24"/>
          <w:szCs w:val="24"/>
          <w:lang w:eastAsia="de-DE"/>
        </w:rPr>
        <w:t>appraising and evaluating behavior, with and without risk knowledge and action</w:t>
      </w:r>
      <w:r w:rsidR="00135AF6">
        <w:rPr>
          <w:rFonts w:asciiTheme="minorHAnsi" w:hAnsiTheme="minorHAnsi" w:cstheme="minorHAnsi"/>
          <w:sz w:val="24"/>
          <w:szCs w:val="24"/>
          <w:lang w:eastAsia="de-DE"/>
        </w:rPr>
        <w:t>, and the conditions that contribute to change</w:t>
      </w:r>
      <w:r w:rsidR="00B04B79">
        <w:rPr>
          <w:rFonts w:asciiTheme="minorHAnsi" w:hAnsiTheme="minorHAnsi" w:cstheme="minorHAnsi"/>
          <w:sz w:val="24"/>
          <w:szCs w:val="24"/>
          <w:lang w:eastAsia="de-DE"/>
        </w:rPr>
        <w:t>.</w:t>
      </w:r>
      <w:r w:rsidR="00F30FE8" w:rsidRPr="001E1A9A">
        <w:rPr>
          <w:rFonts w:asciiTheme="minorHAnsi" w:hAnsiTheme="minorHAnsi" w:cstheme="minorHAnsi"/>
          <w:sz w:val="24"/>
          <w:szCs w:val="24"/>
          <w:lang w:eastAsia="de-DE"/>
        </w:rPr>
        <w:t xml:space="preserve"> </w:t>
      </w:r>
    </w:p>
    <w:p w:rsidR="00F30FE8" w:rsidRPr="008D13B3" w:rsidRDefault="00F30FE8">
      <w:pPr>
        <w:rPr>
          <w:rFonts w:ascii="Calibri" w:hAnsi="Calibri" w:cs="Calibri"/>
          <w:color w:val="000000" w:themeColor="text1"/>
          <w:sz w:val="24"/>
          <w:szCs w:val="24"/>
          <w:shd w:val="clear" w:color="auto" w:fill="FFFFFF"/>
        </w:rPr>
      </w:pPr>
      <w:r w:rsidRPr="008D13B3">
        <w:rPr>
          <w:rFonts w:ascii="Calibri" w:hAnsi="Calibri" w:cs="Calibri"/>
          <w:color w:val="000000" w:themeColor="text1"/>
          <w:sz w:val="24"/>
          <w:szCs w:val="24"/>
          <w:shd w:val="clear" w:color="auto" w:fill="FFFFFF"/>
        </w:rPr>
        <w:br w:type="page"/>
      </w:r>
    </w:p>
    <w:p w:rsidR="00F30FE8" w:rsidRDefault="00C62F60" w:rsidP="001E1A9A">
      <w:pPr>
        <w:spacing w:before="480" w:after="240"/>
        <w:rPr>
          <w:rFonts w:ascii="Calibri" w:eastAsia="Times New Roman" w:hAnsi="Calibri" w:cs="Calibri"/>
          <w:color w:val="000000" w:themeColor="text1"/>
          <w:sz w:val="24"/>
          <w:szCs w:val="24"/>
        </w:rPr>
      </w:pPr>
      <w:r w:rsidRPr="001E1A9A">
        <w:rPr>
          <w:rStyle w:val="Heading1Char"/>
        </w:rPr>
        <w:lastRenderedPageBreak/>
        <w:t>The Call</w:t>
      </w:r>
    </w:p>
    <w:p w:rsidR="004F5C6D" w:rsidRDefault="002B74DD" w:rsidP="001E1A9A">
      <w:pPr>
        <w:spacing w:before="120" w:after="120"/>
        <w:rPr>
          <w:rFonts w:ascii="Calibri" w:hAnsi="Calibri" w:cs="Calibri"/>
          <w:color w:val="000000" w:themeColor="text1"/>
          <w:sz w:val="24"/>
          <w:szCs w:val="24"/>
        </w:rPr>
      </w:pPr>
      <w:r>
        <w:rPr>
          <w:rFonts w:ascii="Calibri" w:eastAsia="Times New Roman" w:hAnsi="Calibri" w:cs="Calibri"/>
          <w:color w:val="000000" w:themeColor="text1"/>
          <w:sz w:val="24"/>
          <w:szCs w:val="24"/>
        </w:rPr>
        <w:t>A</w:t>
      </w:r>
      <w:r w:rsidRPr="000B4B4D">
        <w:rPr>
          <w:rFonts w:ascii="Calibri" w:eastAsia="Times New Roman" w:hAnsi="Calibri" w:cs="Calibri"/>
          <w:color w:val="000000" w:themeColor="text1"/>
          <w:sz w:val="24"/>
          <w:szCs w:val="24"/>
        </w:rPr>
        <w:t xml:space="preserve">s part of the development of the </w:t>
      </w:r>
      <w:r w:rsidR="00F30FE8">
        <w:rPr>
          <w:rFonts w:ascii="Calibri" w:eastAsia="Times New Roman" w:hAnsi="Calibri" w:cs="Calibri"/>
          <w:color w:val="000000" w:themeColor="text1"/>
          <w:sz w:val="24"/>
          <w:szCs w:val="24"/>
        </w:rPr>
        <w:t>GAR19,</w:t>
      </w:r>
      <w:r w:rsidRPr="000B4B4D">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t</w:t>
      </w:r>
      <w:r w:rsidR="0087258A" w:rsidRPr="000B4B4D">
        <w:rPr>
          <w:rFonts w:ascii="Calibri" w:eastAsia="Times New Roman" w:hAnsi="Calibri" w:cs="Calibri"/>
          <w:color w:val="000000" w:themeColor="text1"/>
          <w:sz w:val="24"/>
          <w:szCs w:val="24"/>
        </w:rPr>
        <w:t xml:space="preserve">he United Nations Office for Disaster Risk Reduction (UNISDR) is issuing a Call for </w:t>
      </w:r>
      <w:r>
        <w:rPr>
          <w:rFonts w:ascii="Calibri" w:eastAsia="Times New Roman" w:hAnsi="Calibri" w:cs="Calibri"/>
          <w:color w:val="000000" w:themeColor="text1"/>
          <w:sz w:val="24"/>
          <w:szCs w:val="24"/>
        </w:rPr>
        <w:t xml:space="preserve">Papers </w:t>
      </w:r>
      <w:r w:rsidR="0087258A" w:rsidRPr="000B4B4D">
        <w:rPr>
          <w:rFonts w:ascii="Calibri" w:hAnsi="Calibri" w:cs="Calibri"/>
          <w:color w:val="000000" w:themeColor="text1"/>
          <w:sz w:val="24"/>
          <w:szCs w:val="24"/>
        </w:rPr>
        <w:t>that present res</w:t>
      </w:r>
      <w:r w:rsidR="00861B3F">
        <w:rPr>
          <w:rFonts w:ascii="Calibri" w:hAnsi="Calibri" w:cs="Calibri"/>
          <w:color w:val="000000" w:themeColor="text1"/>
          <w:sz w:val="24"/>
          <w:szCs w:val="24"/>
        </w:rPr>
        <w:t>earch, oriented by Chapter</w:t>
      </w:r>
      <w:r w:rsidR="0087258A" w:rsidRPr="000B4B4D">
        <w:rPr>
          <w:rFonts w:ascii="Calibri" w:hAnsi="Calibri" w:cs="Calibri"/>
          <w:color w:val="000000" w:themeColor="text1"/>
          <w:sz w:val="24"/>
          <w:szCs w:val="24"/>
        </w:rPr>
        <w:t>, addressing the following issues:</w:t>
      </w:r>
    </w:p>
    <w:p w:rsidR="00C11AD6" w:rsidRPr="001E1A9A" w:rsidRDefault="00C11AD6" w:rsidP="001E1A9A">
      <w:pPr>
        <w:pStyle w:val="Heading1"/>
        <w:spacing w:before="360" w:after="240"/>
        <w:ind w:left="1701" w:hanging="1701"/>
        <w:rPr>
          <w:rFonts w:cstheme="minorHAnsi"/>
          <w:b/>
          <w:bCs/>
          <w:sz w:val="28"/>
          <w:szCs w:val="28"/>
          <w:lang w:eastAsia="de-DE"/>
        </w:rPr>
      </w:pPr>
      <w:r w:rsidRPr="001E1A9A">
        <w:rPr>
          <w:rFonts w:asciiTheme="minorHAnsi" w:hAnsiTheme="minorHAnsi" w:cstheme="minorHAnsi"/>
          <w:b/>
          <w:bCs/>
          <w:sz w:val="28"/>
          <w:szCs w:val="28"/>
          <w:lang w:eastAsia="de-DE"/>
        </w:rPr>
        <w:t>Chapter 1</w:t>
      </w:r>
      <w:r w:rsidRPr="001E1A9A">
        <w:rPr>
          <w:rFonts w:asciiTheme="minorHAnsi" w:hAnsiTheme="minorHAnsi" w:cstheme="minorHAnsi"/>
          <w:b/>
          <w:bCs/>
          <w:sz w:val="28"/>
          <w:szCs w:val="28"/>
          <w:lang w:eastAsia="de-DE"/>
        </w:rPr>
        <w:tab/>
        <w:t>Implementation of the Sendai Framework for Disaster Risk Reduction and disaster risk-informed Sustainable Development</w:t>
      </w:r>
    </w:p>
    <w:p w:rsidR="008215C7" w:rsidRDefault="004F5C6D" w:rsidP="00237095">
      <w:pPr>
        <w:rPr>
          <w:rFonts w:cs="Calibri"/>
          <w:color w:val="000000" w:themeColor="text1"/>
          <w:sz w:val="24"/>
          <w:szCs w:val="24"/>
        </w:rPr>
      </w:pPr>
      <w:r>
        <w:rPr>
          <w:rFonts w:cs="Calibri"/>
          <w:color w:val="000000" w:themeColor="text1"/>
          <w:sz w:val="24"/>
          <w:szCs w:val="24"/>
        </w:rPr>
        <w:t xml:space="preserve">Chapter 1 will present trends and analysis of progress by </w:t>
      </w:r>
      <w:r w:rsidR="00237095">
        <w:rPr>
          <w:rFonts w:cs="Calibri"/>
          <w:color w:val="000000" w:themeColor="text1"/>
          <w:sz w:val="24"/>
          <w:szCs w:val="24"/>
        </w:rPr>
        <w:t>Member States and non-State stakeholders</w:t>
      </w:r>
      <w:r w:rsidR="00237095" w:rsidRPr="004F5C6D">
        <w:rPr>
          <w:rFonts w:cs="Calibri"/>
          <w:color w:val="000000" w:themeColor="text1"/>
          <w:sz w:val="24"/>
          <w:szCs w:val="24"/>
        </w:rPr>
        <w:t xml:space="preserve"> </w:t>
      </w:r>
      <w:r w:rsidR="008215C7" w:rsidRPr="004F5C6D">
        <w:rPr>
          <w:rFonts w:cs="Calibri"/>
          <w:color w:val="000000" w:themeColor="text1"/>
          <w:sz w:val="24"/>
          <w:szCs w:val="24"/>
        </w:rPr>
        <w:t>i</w:t>
      </w:r>
      <w:r>
        <w:rPr>
          <w:rFonts w:cs="Calibri"/>
          <w:color w:val="000000" w:themeColor="text1"/>
          <w:sz w:val="24"/>
          <w:szCs w:val="24"/>
        </w:rPr>
        <w:t xml:space="preserve">n implementing the Sendai Framework, </w:t>
      </w:r>
      <w:r w:rsidR="00135AF6">
        <w:rPr>
          <w:rFonts w:cs="Calibri"/>
          <w:color w:val="000000" w:themeColor="text1"/>
          <w:sz w:val="24"/>
          <w:szCs w:val="24"/>
        </w:rPr>
        <w:t xml:space="preserve">principally </w:t>
      </w:r>
      <w:r w:rsidR="002B74DD">
        <w:rPr>
          <w:rFonts w:cs="Calibri"/>
          <w:color w:val="000000" w:themeColor="text1"/>
          <w:sz w:val="24"/>
          <w:szCs w:val="24"/>
        </w:rPr>
        <w:t>based on</w:t>
      </w:r>
      <w:r>
        <w:rPr>
          <w:rFonts w:cs="Calibri"/>
          <w:color w:val="000000" w:themeColor="text1"/>
          <w:sz w:val="24"/>
          <w:szCs w:val="24"/>
        </w:rPr>
        <w:t xml:space="preserve"> data collected</w:t>
      </w:r>
      <w:r w:rsidR="008215C7" w:rsidRPr="004F5C6D">
        <w:rPr>
          <w:rFonts w:cs="Calibri"/>
          <w:color w:val="000000" w:themeColor="text1"/>
          <w:sz w:val="24"/>
          <w:szCs w:val="24"/>
        </w:rPr>
        <w:t xml:space="preserve"> </w:t>
      </w:r>
      <w:r w:rsidR="001E7791">
        <w:rPr>
          <w:rFonts w:cs="Calibri"/>
          <w:color w:val="000000" w:themeColor="text1"/>
          <w:sz w:val="24"/>
          <w:szCs w:val="24"/>
        </w:rPr>
        <w:t xml:space="preserve">in </w:t>
      </w:r>
      <w:r w:rsidR="008215C7" w:rsidRPr="004F5C6D">
        <w:rPr>
          <w:rFonts w:cs="Calibri"/>
          <w:color w:val="000000" w:themeColor="text1"/>
          <w:sz w:val="24"/>
          <w:szCs w:val="24"/>
        </w:rPr>
        <w:t xml:space="preserve">the online Sendai Framework Monitor. This chapter will </w:t>
      </w:r>
      <w:r>
        <w:rPr>
          <w:rFonts w:cs="Calibri"/>
          <w:color w:val="000000" w:themeColor="text1"/>
          <w:sz w:val="24"/>
          <w:szCs w:val="24"/>
        </w:rPr>
        <w:t xml:space="preserve">also </w:t>
      </w:r>
      <w:r w:rsidR="008215C7" w:rsidRPr="004F5C6D">
        <w:rPr>
          <w:rFonts w:cs="Calibri"/>
          <w:color w:val="000000" w:themeColor="text1"/>
          <w:sz w:val="24"/>
          <w:szCs w:val="24"/>
        </w:rPr>
        <w:t>present analysis in the context of the contribution of the Sendai Framework to the a</w:t>
      </w:r>
      <w:r w:rsidR="008215C7" w:rsidRPr="00237095">
        <w:rPr>
          <w:rFonts w:cs="Calibri"/>
          <w:color w:val="000000" w:themeColor="text1"/>
          <w:sz w:val="24"/>
          <w:szCs w:val="24"/>
        </w:rPr>
        <w:t xml:space="preserve">chievement of the SDGs, </w:t>
      </w:r>
      <w:r w:rsidR="008215C7" w:rsidRPr="00344D4F">
        <w:rPr>
          <w:rFonts w:cs="Calibri"/>
          <w:color w:val="000000" w:themeColor="text1"/>
          <w:sz w:val="24"/>
          <w:szCs w:val="24"/>
        </w:rPr>
        <w:t xml:space="preserve">exploring </w:t>
      </w:r>
      <w:r w:rsidR="00237095" w:rsidRPr="00344D4F">
        <w:rPr>
          <w:rFonts w:cs="Calibri"/>
          <w:color w:val="000000" w:themeColor="text1"/>
          <w:sz w:val="24"/>
          <w:szCs w:val="24"/>
        </w:rPr>
        <w:t xml:space="preserve">trends in </w:t>
      </w:r>
      <w:r w:rsidR="00C11AD6" w:rsidRPr="00344D4F">
        <w:rPr>
          <w:rFonts w:cs="Calibri"/>
          <w:color w:val="000000" w:themeColor="text1"/>
          <w:sz w:val="24"/>
          <w:szCs w:val="24"/>
        </w:rPr>
        <w:t xml:space="preserve">disaster loss </w:t>
      </w:r>
      <w:r w:rsidR="00237095" w:rsidRPr="00344D4F">
        <w:rPr>
          <w:rFonts w:cs="Calibri"/>
          <w:color w:val="000000" w:themeColor="text1"/>
          <w:sz w:val="24"/>
          <w:szCs w:val="24"/>
        </w:rPr>
        <w:t xml:space="preserve">and damage, and examine measures undertaken by Member States and non-State stakeholders to </w:t>
      </w:r>
      <w:r w:rsidR="00237095" w:rsidRPr="00237095">
        <w:rPr>
          <w:bCs/>
          <w:sz w:val="24"/>
          <w:szCs w:val="24"/>
        </w:rPr>
        <w:t>deliver the expected outcomes and goals, realize both global and nationally-determined targets and priorities, and</w:t>
      </w:r>
      <w:r w:rsidR="00237095" w:rsidRPr="00237095">
        <w:rPr>
          <w:rFonts w:cs="Calibri"/>
          <w:color w:val="000000" w:themeColor="text1"/>
          <w:sz w:val="24"/>
          <w:szCs w:val="24"/>
        </w:rPr>
        <w:t xml:space="preserve"> </w:t>
      </w:r>
      <w:proofErr w:type="spellStart"/>
      <w:r w:rsidR="00237095" w:rsidRPr="00237095">
        <w:rPr>
          <w:rFonts w:cs="Calibri"/>
          <w:color w:val="000000" w:themeColor="text1"/>
          <w:sz w:val="24"/>
          <w:szCs w:val="24"/>
        </w:rPr>
        <w:t>f</w:t>
      </w:r>
      <w:r w:rsidR="00237095" w:rsidRPr="004F5C6D">
        <w:rPr>
          <w:rFonts w:cs="Calibri"/>
          <w:color w:val="000000" w:themeColor="text1"/>
          <w:sz w:val="24"/>
          <w:szCs w:val="24"/>
        </w:rPr>
        <w:t>ulfil</w:t>
      </w:r>
      <w:proofErr w:type="spellEnd"/>
      <w:r w:rsidR="00237095" w:rsidRPr="004F5C6D">
        <w:rPr>
          <w:rFonts w:cs="Calibri"/>
          <w:color w:val="000000" w:themeColor="text1"/>
          <w:sz w:val="24"/>
          <w:szCs w:val="24"/>
        </w:rPr>
        <w:t xml:space="preserve"> monitoring and reporting requirements</w:t>
      </w:r>
      <w:r w:rsidR="008215C7" w:rsidRPr="004F5C6D">
        <w:rPr>
          <w:rFonts w:cs="Calibri"/>
          <w:color w:val="000000" w:themeColor="text1"/>
          <w:sz w:val="24"/>
          <w:szCs w:val="24"/>
        </w:rPr>
        <w:t>.</w:t>
      </w:r>
    </w:p>
    <w:p w:rsidR="00C11AD6" w:rsidRPr="00344D4F" w:rsidRDefault="00C11AD6" w:rsidP="00C11AD6">
      <w:pPr>
        <w:pStyle w:val="Heading3"/>
        <w:spacing w:before="360" w:after="240"/>
        <w:rPr>
          <w:rFonts w:asciiTheme="minorHAnsi" w:hAnsiTheme="minorHAnsi" w:cstheme="minorHAnsi"/>
          <w:color w:val="2F5496" w:themeColor="accent1" w:themeShade="BF"/>
          <w:sz w:val="26"/>
          <w:szCs w:val="26"/>
          <w:lang w:val="en-US"/>
        </w:rPr>
      </w:pPr>
      <w:r w:rsidRPr="00344D4F">
        <w:rPr>
          <w:rFonts w:asciiTheme="minorHAnsi" w:hAnsiTheme="minorHAnsi" w:cstheme="minorHAnsi"/>
          <w:color w:val="2F5496" w:themeColor="accent1" w:themeShade="BF"/>
          <w:sz w:val="26"/>
          <w:szCs w:val="26"/>
          <w:lang w:val="en-US"/>
        </w:rPr>
        <w:t>1.1</w:t>
      </w:r>
      <w:r w:rsidRPr="00344D4F">
        <w:rPr>
          <w:rFonts w:asciiTheme="minorHAnsi" w:hAnsiTheme="minorHAnsi" w:cstheme="minorHAnsi"/>
          <w:color w:val="2F5496" w:themeColor="accent1" w:themeShade="BF"/>
          <w:sz w:val="26"/>
          <w:szCs w:val="26"/>
          <w:lang w:val="en-US"/>
        </w:rPr>
        <w:tab/>
        <w:t xml:space="preserve">Risk Reduction in the Sustainable Development Goals of the 2030 Agenda </w:t>
      </w:r>
    </w:p>
    <w:p w:rsidR="00C11AD6" w:rsidRDefault="001E1A9A" w:rsidP="001E1A9A">
      <w:pPr>
        <w:rPr>
          <w:rFonts w:cs="Calibri"/>
          <w:color w:val="000000" w:themeColor="text1"/>
          <w:sz w:val="24"/>
          <w:szCs w:val="24"/>
        </w:rPr>
      </w:pPr>
      <w:r>
        <w:rPr>
          <w:rFonts w:cs="Calibri"/>
          <w:color w:val="000000" w:themeColor="text1"/>
          <w:sz w:val="24"/>
          <w:szCs w:val="24"/>
        </w:rPr>
        <w:t>P</w:t>
      </w:r>
      <w:r w:rsidR="00C11AD6">
        <w:rPr>
          <w:rFonts w:cs="Calibri"/>
          <w:color w:val="000000" w:themeColor="text1"/>
          <w:sz w:val="24"/>
          <w:szCs w:val="24"/>
        </w:rPr>
        <w:t xml:space="preserve">apers should </w:t>
      </w:r>
      <w:r w:rsidR="00BC53BD">
        <w:rPr>
          <w:rFonts w:cs="Calibri"/>
          <w:color w:val="000000" w:themeColor="text1"/>
          <w:sz w:val="24"/>
          <w:szCs w:val="24"/>
        </w:rPr>
        <w:t xml:space="preserve">address </w:t>
      </w:r>
      <w:r w:rsidR="00C11AD6">
        <w:rPr>
          <w:rFonts w:cs="Calibri"/>
          <w:color w:val="000000" w:themeColor="text1"/>
          <w:sz w:val="24"/>
          <w:szCs w:val="24"/>
        </w:rPr>
        <w:t>on</w:t>
      </w:r>
      <w:r w:rsidR="001E7791">
        <w:rPr>
          <w:rFonts w:cs="Calibri"/>
          <w:color w:val="000000" w:themeColor="text1"/>
          <w:sz w:val="24"/>
          <w:szCs w:val="24"/>
        </w:rPr>
        <w:t>e</w:t>
      </w:r>
      <w:r w:rsidR="00C11AD6">
        <w:rPr>
          <w:rFonts w:cs="Calibri"/>
          <w:color w:val="000000" w:themeColor="text1"/>
          <w:sz w:val="24"/>
          <w:szCs w:val="24"/>
        </w:rPr>
        <w:t xml:space="preserve"> or more of the below topics:</w:t>
      </w:r>
    </w:p>
    <w:p w:rsidR="00BC53BD" w:rsidRPr="00EA1468" w:rsidRDefault="00BC53BD" w:rsidP="00F06626">
      <w:pPr>
        <w:pStyle w:val="ListParagraph"/>
        <w:numPr>
          <w:ilvl w:val="0"/>
          <w:numId w:val="25"/>
        </w:numPr>
        <w:rPr>
          <w:rFonts w:cs="Calibri"/>
          <w:color w:val="000000" w:themeColor="text1"/>
          <w:sz w:val="24"/>
          <w:szCs w:val="24"/>
        </w:rPr>
      </w:pPr>
      <w:r w:rsidRPr="00EA1468">
        <w:rPr>
          <w:rFonts w:cs="Calibri"/>
          <w:color w:val="000000" w:themeColor="text1"/>
          <w:sz w:val="24"/>
          <w:szCs w:val="24"/>
        </w:rPr>
        <w:t>Progress made in implementing risk</w:t>
      </w:r>
      <w:r w:rsidR="003970A8">
        <w:rPr>
          <w:rFonts w:cs="Calibri"/>
          <w:color w:val="000000" w:themeColor="text1"/>
          <w:sz w:val="24"/>
          <w:szCs w:val="24"/>
        </w:rPr>
        <w:t>-</w:t>
      </w:r>
      <w:r w:rsidRPr="00EA1468">
        <w:rPr>
          <w:rFonts w:cs="Calibri"/>
          <w:color w:val="000000" w:themeColor="text1"/>
          <w:sz w:val="24"/>
          <w:szCs w:val="24"/>
        </w:rPr>
        <w:t xml:space="preserve">informed sustainable development at </w:t>
      </w:r>
      <w:r>
        <w:rPr>
          <w:rFonts w:cs="Calibri"/>
          <w:color w:val="000000" w:themeColor="text1"/>
          <w:sz w:val="24"/>
          <w:szCs w:val="24"/>
        </w:rPr>
        <w:t>sub-national, national and</w:t>
      </w:r>
      <w:r w:rsidRPr="00EA1468">
        <w:rPr>
          <w:rFonts w:cs="Calibri"/>
          <w:color w:val="000000" w:themeColor="text1"/>
          <w:sz w:val="24"/>
          <w:szCs w:val="24"/>
        </w:rPr>
        <w:t xml:space="preserve"> regio</w:t>
      </w:r>
      <w:r>
        <w:rPr>
          <w:rFonts w:cs="Calibri"/>
          <w:color w:val="000000" w:themeColor="text1"/>
          <w:sz w:val="24"/>
          <w:szCs w:val="24"/>
        </w:rPr>
        <w:t>nal levels</w:t>
      </w:r>
    </w:p>
    <w:p w:rsidR="00C11AD6" w:rsidRDefault="003970A8" w:rsidP="003970A8">
      <w:pPr>
        <w:pStyle w:val="ListParagraph"/>
        <w:numPr>
          <w:ilvl w:val="0"/>
          <w:numId w:val="25"/>
        </w:numPr>
        <w:rPr>
          <w:rFonts w:cs="Calibri"/>
          <w:color w:val="000000" w:themeColor="text1"/>
          <w:sz w:val="24"/>
          <w:szCs w:val="24"/>
        </w:rPr>
      </w:pPr>
      <w:r>
        <w:rPr>
          <w:rFonts w:cs="Calibri"/>
          <w:color w:val="000000" w:themeColor="text1"/>
          <w:sz w:val="24"/>
          <w:szCs w:val="24"/>
        </w:rPr>
        <w:t>G</w:t>
      </w:r>
      <w:r w:rsidR="00C11AD6">
        <w:rPr>
          <w:rFonts w:cs="Calibri"/>
          <w:color w:val="000000" w:themeColor="text1"/>
          <w:sz w:val="24"/>
          <w:szCs w:val="24"/>
        </w:rPr>
        <w:t>lobal, regional,</w:t>
      </w:r>
      <w:r w:rsidR="00C11AD6" w:rsidRPr="00C11AD6">
        <w:rPr>
          <w:rFonts w:cs="Calibri"/>
          <w:color w:val="000000" w:themeColor="text1"/>
          <w:sz w:val="24"/>
          <w:szCs w:val="24"/>
        </w:rPr>
        <w:t xml:space="preserve"> national</w:t>
      </w:r>
      <w:r w:rsidR="00C11AD6">
        <w:rPr>
          <w:rFonts w:cs="Calibri"/>
          <w:color w:val="000000" w:themeColor="text1"/>
          <w:sz w:val="24"/>
          <w:szCs w:val="24"/>
        </w:rPr>
        <w:t xml:space="preserve"> or local</w:t>
      </w:r>
      <w:r w:rsidR="00C11AD6" w:rsidRPr="00C11AD6">
        <w:rPr>
          <w:rFonts w:cs="Calibri"/>
          <w:color w:val="000000" w:themeColor="text1"/>
          <w:sz w:val="24"/>
          <w:szCs w:val="24"/>
        </w:rPr>
        <w:t xml:space="preserve"> efforts to integrate disaster-related data </w:t>
      </w:r>
      <w:r w:rsidR="00C11AD6">
        <w:rPr>
          <w:rFonts w:cs="Calibri"/>
          <w:color w:val="000000" w:themeColor="text1"/>
          <w:sz w:val="24"/>
          <w:szCs w:val="24"/>
        </w:rPr>
        <w:t>in national statistical systems</w:t>
      </w:r>
    </w:p>
    <w:p w:rsidR="00C11AD6" w:rsidRPr="00C11AD6" w:rsidRDefault="00C11AD6" w:rsidP="001E1A9A">
      <w:pPr>
        <w:pStyle w:val="ListParagraph"/>
        <w:numPr>
          <w:ilvl w:val="0"/>
          <w:numId w:val="25"/>
        </w:numPr>
        <w:rPr>
          <w:rFonts w:cs="Calibri"/>
          <w:color w:val="000000" w:themeColor="text1"/>
          <w:sz w:val="24"/>
          <w:szCs w:val="24"/>
        </w:rPr>
      </w:pPr>
      <w:r>
        <w:rPr>
          <w:rFonts w:cs="Calibri"/>
          <w:color w:val="000000" w:themeColor="text1"/>
          <w:sz w:val="24"/>
          <w:szCs w:val="24"/>
        </w:rPr>
        <w:t>Lessons learned or case studies on the impact of successful or failed integration of disaster-related statistics in national statistical systems</w:t>
      </w:r>
    </w:p>
    <w:p w:rsidR="00C11AD6" w:rsidRPr="00344D4F" w:rsidRDefault="00C11AD6" w:rsidP="00C11AD6">
      <w:pPr>
        <w:pStyle w:val="Heading3"/>
        <w:spacing w:before="360" w:after="240"/>
        <w:rPr>
          <w:rFonts w:asciiTheme="minorHAnsi" w:hAnsiTheme="minorHAnsi" w:cstheme="minorHAnsi"/>
          <w:color w:val="2F5496" w:themeColor="accent1" w:themeShade="BF"/>
          <w:sz w:val="26"/>
          <w:szCs w:val="26"/>
          <w:lang w:val="en-US"/>
        </w:rPr>
      </w:pPr>
      <w:r w:rsidRPr="00344D4F">
        <w:rPr>
          <w:rFonts w:asciiTheme="minorHAnsi" w:hAnsiTheme="minorHAnsi" w:cstheme="minorHAnsi"/>
          <w:color w:val="2F5496" w:themeColor="accent1" w:themeShade="BF"/>
          <w:sz w:val="26"/>
          <w:szCs w:val="26"/>
          <w:lang w:val="en-US"/>
        </w:rPr>
        <w:t>1.2</w:t>
      </w:r>
      <w:r w:rsidRPr="00344D4F">
        <w:rPr>
          <w:rFonts w:asciiTheme="minorHAnsi" w:hAnsiTheme="minorHAnsi" w:cstheme="minorHAnsi"/>
          <w:color w:val="2F5496" w:themeColor="accent1" w:themeShade="BF"/>
          <w:sz w:val="26"/>
          <w:szCs w:val="26"/>
          <w:lang w:val="en-US"/>
        </w:rPr>
        <w:tab/>
        <w:t>Sendai Framework for Disaster Risk Reduction – Progress Review 2015 - 2017</w:t>
      </w:r>
    </w:p>
    <w:p w:rsidR="00C11AD6" w:rsidRDefault="001E1A9A">
      <w:pPr>
        <w:rPr>
          <w:rFonts w:cs="Calibri"/>
          <w:color w:val="000000" w:themeColor="text1"/>
          <w:sz w:val="24"/>
          <w:szCs w:val="24"/>
        </w:rPr>
      </w:pPr>
      <w:r>
        <w:rPr>
          <w:rFonts w:cs="Calibri"/>
          <w:color w:val="000000" w:themeColor="text1"/>
          <w:sz w:val="24"/>
          <w:szCs w:val="24"/>
        </w:rPr>
        <w:t xml:space="preserve">Papers </w:t>
      </w:r>
      <w:r w:rsidR="00C11AD6">
        <w:rPr>
          <w:rFonts w:cs="Calibri"/>
          <w:color w:val="000000" w:themeColor="text1"/>
          <w:sz w:val="24"/>
          <w:szCs w:val="24"/>
        </w:rPr>
        <w:t xml:space="preserve">should </w:t>
      </w:r>
      <w:r w:rsidR="00F06626">
        <w:rPr>
          <w:rFonts w:cs="Calibri"/>
          <w:color w:val="000000" w:themeColor="text1"/>
          <w:sz w:val="24"/>
          <w:szCs w:val="24"/>
        </w:rPr>
        <w:t xml:space="preserve">address </w:t>
      </w:r>
      <w:r w:rsidR="00C11AD6">
        <w:rPr>
          <w:rFonts w:cs="Calibri"/>
          <w:color w:val="000000" w:themeColor="text1"/>
          <w:sz w:val="24"/>
          <w:szCs w:val="24"/>
        </w:rPr>
        <w:t>on</w:t>
      </w:r>
      <w:r w:rsidR="001E7791">
        <w:rPr>
          <w:rFonts w:cs="Calibri"/>
          <w:color w:val="000000" w:themeColor="text1"/>
          <w:sz w:val="24"/>
          <w:szCs w:val="24"/>
        </w:rPr>
        <w:t>e</w:t>
      </w:r>
      <w:r w:rsidR="00C11AD6">
        <w:rPr>
          <w:rFonts w:cs="Calibri"/>
          <w:color w:val="000000" w:themeColor="text1"/>
          <w:sz w:val="24"/>
          <w:szCs w:val="24"/>
        </w:rPr>
        <w:t xml:space="preserve"> or more of the below topics:</w:t>
      </w:r>
    </w:p>
    <w:p w:rsidR="00966DDB" w:rsidRPr="001E1A9A" w:rsidRDefault="00C11AD6" w:rsidP="00344D4F">
      <w:pPr>
        <w:pStyle w:val="ListParagraph"/>
        <w:numPr>
          <w:ilvl w:val="0"/>
          <w:numId w:val="27"/>
        </w:numPr>
        <w:spacing w:after="120"/>
        <w:ind w:left="357" w:hanging="357"/>
        <w:contextualSpacing w:val="0"/>
        <w:rPr>
          <w:rFonts w:cs="Calibri"/>
          <w:color w:val="000000" w:themeColor="text1"/>
          <w:sz w:val="24"/>
          <w:szCs w:val="24"/>
        </w:rPr>
      </w:pPr>
      <w:r w:rsidRPr="001E1A9A">
        <w:rPr>
          <w:rFonts w:cs="Calibri"/>
          <w:color w:val="000000" w:themeColor="text1"/>
          <w:sz w:val="24"/>
          <w:szCs w:val="24"/>
        </w:rPr>
        <w:t xml:space="preserve">Disaster loss </w:t>
      </w:r>
      <w:r w:rsidR="003970A8">
        <w:rPr>
          <w:rFonts w:cs="Calibri"/>
          <w:color w:val="000000" w:themeColor="text1"/>
          <w:sz w:val="24"/>
          <w:szCs w:val="24"/>
        </w:rPr>
        <w:t xml:space="preserve">and damage </w:t>
      </w:r>
      <w:r w:rsidRPr="001E1A9A">
        <w:rPr>
          <w:rFonts w:cs="Calibri"/>
          <w:color w:val="000000" w:themeColor="text1"/>
          <w:sz w:val="24"/>
          <w:szCs w:val="24"/>
        </w:rPr>
        <w:t xml:space="preserve">trends 2015 – 2017 from </w:t>
      </w:r>
      <w:r w:rsidR="00966DDB" w:rsidRPr="001E1A9A">
        <w:rPr>
          <w:rFonts w:cs="Calibri"/>
          <w:color w:val="000000" w:themeColor="text1"/>
          <w:sz w:val="24"/>
          <w:szCs w:val="24"/>
        </w:rPr>
        <w:t>additional sources (</w:t>
      </w:r>
      <w:r w:rsidR="003D2328" w:rsidRPr="001E1A9A">
        <w:rPr>
          <w:rFonts w:cs="Calibri"/>
          <w:color w:val="000000" w:themeColor="text1"/>
          <w:sz w:val="24"/>
          <w:szCs w:val="24"/>
        </w:rPr>
        <w:t xml:space="preserve">excluding </w:t>
      </w:r>
      <w:proofErr w:type="spellStart"/>
      <w:r w:rsidR="00966DDB" w:rsidRPr="001E1A9A">
        <w:rPr>
          <w:rFonts w:cs="Calibri"/>
          <w:color w:val="000000" w:themeColor="text1"/>
          <w:sz w:val="24"/>
          <w:szCs w:val="24"/>
        </w:rPr>
        <w:t>Desinventar</w:t>
      </w:r>
      <w:proofErr w:type="spellEnd"/>
      <w:r w:rsidR="00966DDB" w:rsidRPr="001E1A9A">
        <w:rPr>
          <w:rFonts w:cs="Calibri"/>
          <w:color w:val="000000" w:themeColor="text1"/>
          <w:sz w:val="24"/>
          <w:szCs w:val="24"/>
        </w:rPr>
        <w:t xml:space="preserve"> or CRED/EMDAT) related to the Sendai Framework global targets /</w:t>
      </w:r>
      <w:r w:rsidR="00B04B79">
        <w:rPr>
          <w:rFonts w:cs="Calibri"/>
          <w:color w:val="000000" w:themeColor="text1"/>
          <w:sz w:val="24"/>
          <w:szCs w:val="24"/>
        </w:rPr>
        <w:t xml:space="preserve"> </w:t>
      </w:r>
      <w:r w:rsidR="00966DDB" w:rsidRPr="001E1A9A">
        <w:rPr>
          <w:rFonts w:cs="Calibri"/>
          <w:color w:val="000000" w:themeColor="text1"/>
          <w:sz w:val="24"/>
          <w:szCs w:val="24"/>
        </w:rPr>
        <w:t>indicators.</w:t>
      </w:r>
    </w:p>
    <w:p w:rsidR="00966DDB" w:rsidRPr="001E1A9A" w:rsidRDefault="00966DDB" w:rsidP="001E1A9A">
      <w:pPr>
        <w:pStyle w:val="ListParagraph"/>
        <w:numPr>
          <w:ilvl w:val="0"/>
          <w:numId w:val="27"/>
        </w:numPr>
        <w:rPr>
          <w:rFonts w:cs="Calibri"/>
          <w:color w:val="000000" w:themeColor="text1"/>
          <w:sz w:val="24"/>
          <w:szCs w:val="24"/>
        </w:rPr>
      </w:pPr>
      <w:r w:rsidRPr="001E1A9A">
        <w:rPr>
          <w:rFonts w:cs="Calibri"/>
          <w:color w:val="000000" w:themeColor="text1"/>
          <w:sz w:val="24"/>
          <w:szCs w:val="24"/>
        </w:rPr>
        <w:t xml:space="preserve">Thematic research on </w:t>
      </w:r>
      <w:r w:rsidR="00AF2DD4" w:rsidRPr="001E1A9A">
        <w:rPr>
          <w:rFonts w:cs="Calibri"/>
          <w:color w:val="000000" w:themeColor="text1"/>
          <w:sz w:val="24"/>
          <w:szCs w:val="24"/>
        </w:rPr>
        <w:t>progress towards reaching the Sendai Framework global targets:</w:t>
      </w:r>
    </w:p>
    <w:p w:rsidR="00AF2DD4" w:rsidRPr="00AF2DD4" w:rsidRDefault="00AF2DD4" w:rsidP="001E1A9A">
      <w:pPr>
        <w:pStyle w:val="ListParagraph"/>
        <w:numPr>
          <w:ilvl w:val="2"/>
          <w:numId w:val="12"/>
        </w:numPr>
        <w:rPr>
          <w:rFonts w:cs="Calibri"/>
          <w:color w:val="000000" w:themeColor="text1"/>
          <w:sz w:val="24"/>
          <w:szCs w:val="24"/>
        </w:rPr>
      </w:pPr>
      <w:r w:rsidRPr="00AF2DD4">
        <w:rPr>
          <w:rFonts w:cs="Calibri"/>
          <w:color w:val="000000" w:themeColor="text1"/>
          <w:sz w:val="24"/>
          <w:szCs w:val="24"/>
        </w:rPr>
        <w:t>Reducing disaster mortality</w:t>
      </w:r>
    </w:p>
    <w:p w:rsidR="00AF2DD4" w:rsidRDefault="00AF2DD4" w:rsidP="001E1A9A">
      <w:pPr>
        <w:pStyle w:val="ListParagraph"/>
        <w:numPr>
          <w:ilvl w:val="2"/>
          <w:numId w:val="12"/>
        </w:numPr>
        <w:rPr>
          <w:rFonts w:cs="Calibri"/>
          <w:color w:val="000000" w:themeColor="text1"/>
          <w:sz w:val="24"/>
          <w:szCs w:val="24"/>
        </w:rPr>
      </w:pPr>
      <w:r>
        <w:rPr>
          <w:rFonts w:cs="Calibri"/>
          <w:color w:val="000000" w:themeColor="text1"/>
          <w:sz w:val="24"/>
          <w:szCs w:val="24"/>
        </w:rPr>
        <w:t>Reducing number of affected people by disasters</w:t>
      </w:r>
    </w:p>
    <w:p w:rsidR="00AF2DD4" w:rsidRDefault="00AF2DD4" w:rsidP="001E1A9A">
      <w:pPr>
        <w:pStyle w:val="ListParagraph"/>
        <w:numPr>
          <w:ilvl w:val="2"/>
          <w:numId w:val="12"/>
        </w:numPr>
        <w:rPr>
          <w:rFonts w:cs="Calibri"/>
          <w:color w:val="000000" w:themeColor="text1"/>
          <w:sz w:val="24"/>
          <w:szCs w:val="24"/>
        </w:rPr>
      </w:pPr>
      <w:r>
        <w:rPr>
          <w:rFonts w:cs="Calibri"/>
          <w:color w:val="000000" w:themeColor="text1"/>
          <w:sz w:val="24"/>
          <w:szCs w:val="24"/>
        </w:rPr>
        <w:t>Reducing economic losses due to disasters</w:t>
      </w:r>
    </w:p>
    <w:p w:rsidR="00AF2DD4" w:rsidRDefault="00AF2DD4" w:rsidP="001E1A9A">
      <w:pPr>
        <w:pStyle w:val="ListParagraph"/>
        <w:numPr>
          <w:ilvl w:val="2"/>
          <w:numId w:val="12"/>
        </w:numPr>
        <w:rPr>
          <w:rFonts w:cs="Calibri"/>
          <w:color w:val="000000" w:themeColor="text1"/>
          <w:sz w:val="24"/>
          <w:szCs w:val="24"/>
        </w:rPr>
      </w:pPr>
      <w:r>
        <w:rPr>
          <w:rFonts w:cs="Calibri"/>
          <w:color w:val="000000" w:themeColor="text1"/>
          <w:sz w:val="24"/>
          <w:szCs w:val="24"/>
        </w:rPr>
        <w:lastRenderedPageBreak/>
        <w:t>Reducing damage to critical infrastructure and disruption of basic services</w:t>
      </w:r>
    </w:p>
    <w:p w:rsidR="00AF2DD4" w:rsidRDefault="003D2328" w:rsidP="001E1A9A">
      <w:pPr>
        <w:pStyle w:val="ListParagraph"/>
        <w:numPr>
          <w:ilvl w:val="2"/>
          <w:numId w:val="12"/>
        </w:numPr>
        <w:rPr>
          <w:rFonts w:cs="Calibri"/>
          <w:color w:val="000000" w:themeColor="text1"/>
          <w:sz w:val="24"/>
          <w:szCs w:val="24"/>
        </w:rPr>
      </w:pPr>
      <w:r>
        <w:rPr>
          <w:rFonts w:cs="Calibri"/>
          <w:color w:val="000000" w:themeColor="text1"/>
          <w:sz w:val="24"/>
          <w:szCs w:val="24"/>
        </w:rPr>
        <w:t>Enhancing</w:t>
      </w:r>
      <w:r w:rsidR="00AF2DD4">
        <w:rPr>
          <w:rFonts w:cs="Calibri"/>
          <w:color w:val="000000" w:themeColor="text1"/>
          <w:sz w:val="24"/>
          <w:szCs w:val="24"/>
        </w:rPr>
        <w:t xml:space="preserve"> international cooperation </w:t>
      </w:r>
      <w:r>
        <w:rPr>
          <w:rFonts w:cs="Calibri"/>
          <w:color w:val="000000" w:themeColor="text1"/>
          <w:sz w:val="24"/>
          <w:szCs w:val="24"/>
        </w:rPr>
        <w:t xml:space="preserve">to developing countries </w:t>
      </w:r>
      <w:r w:rsidR="00AF2DD4">
        <w:rPr>
          <w:rFonts w:cs="Calibri"/>
          <w:color w:val="000000" w:themeColor="text1"/>
          <w:sz w:val="24"/>
          <w:szCs w:val="24"/>
        </w:rPr>
        <w:t>to reduce disaster risk</w:t>
      </w:r>
    </w:p>
    <w:p w:rsidR="00AF2DD4" w:rsidRDefault="003D2328" w:rsidP="001E1A9A">
      <w:pPr>
        <w:pStyle w:val="ListParagraph"/>
        <w:numPr>
          <w:ilvl w:val="2"/>
          <w:numId w:val="12"/>
        </w:numPr>
        <w:rPr>
          <w:rFonts w:cs="Calibri"/>
          <w:color w:val="000000" w:themeColor="text1"/>
          <w:sz w:val="24"/>
          <w:szCs w:val="24"/>
        </w:rPr>
      </w:pPr>
      <w:r>
        <w:rPr>
          <w:rFonts w:cs="Calibri"/>
          <w:color w:val="000000" w:themeColor="text1"/>
          <w:sz w:val="24"/>
          <w:szCs w:val="24"/>
        </w:rPr>
        <w:t xml:space="preserve">Increasing the </w:t>
      </w:r>
      <w:r w:rsidR="00AF2DD4">
        <w:rPr>
          <w:rFonts w:cs="Calibri"/>
          <w:color w:val="000000" w:themeColor="text1"/>
          <w:sz w:val="24"/>
          <w:szCs w:val="24"/>
        </w:rPr>
        <w:t>number of national and local disaster risk reduction strategies</w:t>
      </w:r>
    </w:p>
    <w:p w:rsidR="003F49AC" w:rsidRDefault="003D2328" w:rsidP="001E1A9A">
      <w:pPr>
        <w:pStyle w:val="ListParagraph"/>
        <w:numPr>
          <w:ilvl w:val="2"/>
          <w:numId w:val="12"/>
        </w:numPr>
        <w:rPr>
          <w:rFonts w:cs="Calibri"/>
          <w:color w:val="000000" w:themeColor="text1"/>
          <w:sz w:val="24"/>
          <w:szCs w:val="24"/>
        </w:rPr>
      </w:pPr>
      <w:r>
        <w:rPr>
          <w:rFonts w:cs="Calibri"/>
          <w:color w:val="000000" w:themeColor="text1"/>
          <w:sz w:val="24"/>
          <w:szCs w:val="24"/>
        </w:rPr>
        <w:t xml:space="preserve">Increasing </w:t>
      </w:r>
      <w:r w:rsidR="001E7791">
        <w:rPr>
          <w:rFonts w:cs="Calibri"/>
          <w:color w:val="000000" w:themeColor="text1"/>
          <w:sz w:val="24"/>
          <w:szCs w:val="24"/>
        </w:rPr>
        <w:t>availability of and access to</w:t>
      </w:r>
      <w:r w:rsidR="00AF2DD4">
        <w:rPr>
          <w:rFonts w:cs="Calibri"/>
          <w:color w:val="000000" w:themeColor="text1"/>
          <w:sz w:val="24"/>
          <w:szCs w:val="24"/>
        </w:rPr>
        <w:t xml:space="preserve"> multi-hazard early warning systems </w:t>
      </w:r>
      <w:r w:rsidR="001E7791">
        <w:rPr>
          <w:rFonts w:cs="Calibri"/>
          <w:color w:val="000000" w:themeColor="text1"/>
          <w:sz w:val="24"/>
          <w:szCs w:val="24"/>
        </w:rPr>
        <w:t>and disaster risk information</w:t>
      </w:r>
      <w:r w:rsidR="00AF2DD4">
        <w:rPr>
          <w:rFonts w:cs="Calibri"/>
          <w:color w:val="000000" w:themeColor="text1"/>
          <w:sz w:val="24"/>
          <w:szCs w:val="24"/>
        </w:rPr>
        <w:t xml:space="preserve"> </w:t>
      </w:r>
    </w:p>
    <w:p w:rsidR="00861B3F" w:rsidRDefault="003F49AC" w:rsidP="001E1A9A">
      <w:pPr>
        <w:pStyle w:val="ListParagraph"/>
        <w:numPr>
          <w:ilvl w:val="0"/>
          <w:numId w:val="28"/>
        </w:numPr>
        <w:ind w:left="357" w:hanging="357"/>
        <w:rPr>
          <w:rFonts w:cs="Calibri"/>
          <w:color w:val="000000" w:themeColor="text1"/>
          <w:sz w:val="24"/>
          <w:szCs w:val="24"/>
        </w:rPr>
      </w:pPr>
      <w:r>
        <w:rPr>
          <w:rFonts w:cs="Calibri"/>
          <w:color w:val="000000" w:themeColor="text1"/>
          <w:sz w:val="24"/>
          <w:szCs w:val="24"/>
        </w:rPr>
        <w:t>Q</w:t>
      </w:r>
      <w:r w:rsidR="00861B3F" w:rsidRPr="003F49AC">
        <w:rPr>
          <w:rFonts w:cs="Calibri"/>
          <w:color w:val="000000" w:themeColor="text1"/>
          <w:sz w:val="24"/>
          <w:szCs w:val="24"/>
        </w:rPr>
        <w:t>ualitative a</w:t>
      </w:r>
      <w:r>
        <w:rPr>
          <w:rFonts w:cs="Calibri"/>
          <w:color w:val="000000" w:themeColor="text1"/>
          <w:sz w:val="24"/>
          <w:szCs w:val="24"/>
        </w:rPr>
        <w:t xml:space="preserve">nd quantitative analysis of </w:t>
      </w:r>
      <w:r w:rsidR="00861B3F" w:rsidRPr="003F49AC">
        <w:rPr>
          <w:rFonts w:cs="Calibri"/>
          <w:color w:val="000000" w:themeColor="text1"/>
          <w:sz w:val="24"/>
          <w:szCs w:val="24"/>
        </w:rPr>
        <w:t>efforts made by</w:t>
      </w:r>
      <w:r>
        <w:rPr>
          <w:rFonts w:cs="Calibri"/>
          <w:color w:val="000000" w:themeColor="text1"/>
          <w:sz w:val="24"/>
          <w:szCs w:val="24"/>
        </w:rPr>
        <w:t xml:space="preserve"> countries in </w:t>
      </w:r>
      <w:r w:rsidR="00861B3F" w:rsidRPr="003F49AC">
        <w:rPr>
          <w:rFonts w:cs="Calibri"/>
          <w:color w:val="000000" w:themeColor="text1"/>
          <w:sz w:val="24"/>
          <w:szCs w:val="24"/>
        </w:rPr>
        <w:t xml:space="preserve">developing and retro-fitting national </w:t>
      </w:r>
      <w:r>
        <w:rPr>
          <w:rFonts w:cs="Calibri"/>
          <w:color w:val="000000" w:themeColor="text1"/>
          <w:sz w:val="24"/>
          <w:szCs w:val="24"/>
        </w:rPr>
        <w:t xml:space="preserve">disaster </w:t>
      </w:r>
      <w:r w:rsidR="00861B3F" w:rsidRPr="003F49AC">
        <w:rPr>
          <w:rFonts w:cs="Calibri"/>
          <w:color w:val="000000" w:themeColor="text1"/>
          <w:sz w:val="24"/>
          <w:szCs w:val="24"/>
        </w:rPr>
        <w:t>loss accounting systems and developi</w:t>
      </w:r>
      <w:r>
        <w:rPr>
          <w:rFonts w:cs="Calibri"/>
          <w:color w:val="000000" w:themeColor="text1"/>
          <w:sz w:val="24"/>
          <w:szCs w:val="24"/>
        </w:rPr>
        <w:t>ng disaster-related statistics</w:t>
      </w:r>
      <w:r w:rsidR="00861B3F" w:rsidRPr="003F49AC">
        <w:rPr>
          <w:rFonts w:cs="Calibri"/>
          <w:color w:val="000000" w:themeColor="text1"/>
          <w:sz w:val="24"/>
          <w:szCs w:val="24"/>
        </w:rPr>
        <w:t xml:space="preserve"> </w:t>
      </w:r>
    </w:p>
    <w:p w:rsidR="00EA1468" w:rsidRPr="00EA1468" w:rsidRDefault="00EA1468" w:rsidP="00344D4F">
      <w:pPr>
        <w:pStyle w:val="ListParagraph"/>
        <w:numPr>
          <w:ilvl w:val="0"/>
          <w:numId w:val="28"/>
        </w:numPr>
        <w:rPr>
          <w:rFonts w:cs="Calibri"/>
          <w:color w:val="000000" w:themeColor="text1"/>
          <w:sz w:val="24"/>
          <w:szCs w:val="24"/>
        </w:rPr>
      </w:pPr>
      <w:r w:rsidRPr="00EA1468">
        <w:rPr>
          <w:rFonts w:cs="Calibri"/>
          <w:color w:val="000000" w:themeColor="text1"/>
          <w:sz w:val="24"/>
          <w:szCs w:val="24"/>
        </w:rPr>
        <w:t>Progress made in establishing the basis for national and local risk-informed decision-making and investment across all</w:t>
      </w:r>
      <w:r w:rsidR="003970A8">
        <w:rPr>
          <w:rFonts w:cs="Calibri"/>
          <w:color w:val="000000" w:themeColor="text1"/>
          <w:sz w:val="24"/>
          <w:szCs w:val="24"/>
        </w:rPr>
        <w:t>-</w:t>
      </w:r>
      <w:r w:rsidRPr="00EA1468">
        <w:rPr>
          <w:rFonts w:cs="Calibri"/>
          <w:color w:val="000000" w:themeColor="text1"/>
          <w:sz w:val="24"/>
          <w:szCs w:val="24"/>
        </w:rPr>
        <w:t>of</w:t>
      </w:r>
      <w:r w:rsidR="003970A8">
        <w:rPr>
          <w:rFonts w:cs="Calibri"/>
          <w:color w:val="000000" w:themeColor="text1"/>
          <w:sz w:val="24"/>
          <w:szCs w:val="24"/>
        </w:rPr>
        <w:t>-S</w:t>
      </w:r>
      <w:r w:rsidRPr="00EA1468">
        <w:rPr>
          <w:rFonts w:cs="Calibri"/>
          <w:color w:val="000000" w:themeColor="text1"/>
          <w:sz w:val="24"/>
          <w:szCs w:val="24"/>
        </w:rPr>
        <w:t xml:space="preserve">tate institutions at national and </w:t>
      </w:r>
      <w:r w:rsidR="00BC53BD">
        <w:rPr>
          <w:rFonts w:cs="Calibri"/>
          <w:color w:val="000000" w:themeColor="text1"/>
          <w:sz w:val="24"/>
          <w:szCs w:val="24"/>
        </w:rPr>
        <w:t>sub-national</w:t>
      </w:r>
      <w:r w:rsidR="00BC53BD" w:rsidRPr="00EA1468">
        <w:rPr>
          <w:rFonts w:cs="Calibri"/>
          <w:color w:val="000000" w:themeColor="text1"/>
          <w:sz w:val="24"/>
          <w:szCs w:val="24"/>
        </w:rPr>
        <w:t xml:space="preserve"> </w:t>
      </w:r>
      <w:r w:rsidRPr="00EA1468">
        <w:rPr>
          <w:rFonts w:cs="Calibri"/>
          <w:color w:val="000000" w:themeColor="text1"/>
          <w:sz w:val="24"/>
          <w:szCs w:val="24"/>
        </w:rPr>
        <w:t>levels</w:t>
      </w:r>
    </w:p>
    <w:p w:rsidR="003F49AC" w:rsidRPr="006926F0" w:rsidRDefault="00EA1468" w:rsidP="001E1A9A">
      <w:pPr>
        <w:pStyle w:val="ListParagraph"/>
        <w:numPr>
          <w:ilvl w:val="0"/>
          <w:numId w:val="28"/>
        </w:numPr>
        <w:rPr>
          <w:rFonts w:cs="Calibri"/>
          <w:color w:val="000000" w:themeColor="text1"/>
          <w:sz w:val="24"/>
          <w:szCs w:val="24"/>
        </w:rPr>
      </w:pPr>
      <w:bookmarkStart w:id="0" w:name="_Hlk513814346"/>
      <w:r w:rsidRPr="00EA1468">
        <w:rPr>
          <w:rFonts w:cs="Calibri"/>
          <w:color w:val="000000" w:themeColor="text1"/>
          <w:sz w:val="24"/>
          <w:szCs w:val="24"/>
        </w:rPr>
        <w:t xml:space="preserve">Progress </w:t>
      </w:r>
      <w:r w:rsidR="00BC53BD">
        <w:rPr>
          <w:rFonts w:cs="Calibri"/>
          <w:color w:val="000000" w:themeColor="text1"/>
          <w:sz w:val="24"/>
          <w:szCs w:val="24"/>
        </w:rPr>
        <w:t>in the</w:t>
      </w:r>
      <w:r w:rsidRPr="00EA1468">
        <w:rPr>
          <w:rFonts w:cs="Calibri"/>
          <w:color w:val="000000" w:themeColor="text1"/>
          <w:sz w:val="24"/>
          <w:szCs w:val="24"/>
        </w:rPr>
        <w:t xml:space="preserve"> </w:t>
      </w:r>
      <w:r w:rsidR="001E7791">
        <w:rPr>
          <w:rFonts w:cs="Calibri"/>
          <w:color w:val="000000" w:themeColor="text1"/>
          <w:sz w:val="24"/>
          <w:szCs w:val="24"/>
        </w:rPr>
        <w:t>evolution of</w:t>
      </w:r>
      <w:r w:rsidRPr="00EA1468">
        <w:rPr>
          <w:rFonts w:cs="Calibri"/>
          <w:color w:val="000000" w:themeColor="text1"/>
          <w:sz w:val="24"/>
          <w:szCs w:val="24"/>
        </w:rPr>
        <w:t xml:space="preserve"> </w:t>
      </w:r>
      <w:r w:rsidR="00BC53BD">
        <w:rPr>
          <w:rFonts w:cs="Calibri"/>
          <w:color w:val="000000" w:themeColor="text1"/>
          <w:sz w:val="24"/>
          <w:szCs w:val="24"/>
        </w:rPr>
        <w:t xml:space="preserve">the </w:t>
      </w:r>
      <w:r w:rsidR="001E7791">
        <w:rPr>
          <w:rFonts w:cs="Calibri"/>
          <w:color w:val="000000" w:themeColor="text1"/>
          <w:sz w:val="24"/>
          <w:szCs w:val="24"/>
        </w:rPr>
        <w:t>policy</w:t>
      </w:r>
      <w:r w:rsidR="00BC53BD">
        <w:rPr>
          <w:rFonts w:cs="Calibri"/>
          <w:color w:val="000000" w:themeColor="text1"/>
          <w:sz w:val="24"/>
          <w:szCs w:val="24"/>
        </w:rPr>
        <w:t xml:space="preserve"> environment at</w:t>
      </w:r>
      <w:r w:rsidRPr="00EA1468">
        <w:rPr>
          <w:rFonts w:cs="Calibri"/>
          <w:color w:val="000000" w:themeColor="text1"/>
          <w:sz w:val="24"/>
          <w:szCs w:val="24"/>
        </w:rPr>
        <w:t xml:space="preserve"> regional, national and sub-national scales</w:t>
      </w:r>
      <w:r w:rsidR="00BC53BD">
        <w:rPr>
          <w:rFonts w:cs="Calibri"/>
          <w:color w:val="000000" w:themeColor="text1"/>
          <w:sz w:val="24"/>
          <w:szCs w:val="24"/>
        </w:rPr>
        <w:t>, and consequences for risk-</w:t>
      </w:r>
      <w:r w:rsidR="00BC53BD" w:rsidRPr="00EA1468">
        <w:rPr>
          <w:rFonts w:cs="Calibri"/>
          <w:color w:val="000000" w:themeColor="text1"/>
          <w:sz w:val="24"/>
          <w:szCs w:val="24"/>
        </w:rPr>
        <w:t>informed decision-making</w:t>
      </w:r>
      <w:r w:rsidR="00BC53BD">
        <w:rPr>
          <w:rFonts w:cs="Calibri"/>
          <w:color w:val="000000" w:themeColor="text1"/>
          <w:sz w:val="24"/>
          <w:szCs w:val="24"/>
        </w:rPr>
        <w:t xml:space="preserve"> at all scales</w:t>
      </w:r>
    </w:p>
    <w:bookmarkEnd w:id="0"/>
    <w:p w:rsidR="003F49AC" w:rsidRPr="001E1A9A" w:rsidRDefault="003F49AC" w:rsidP="001E1A9A">
      <w:pPr>
        <w:pStyle w:val="Heading1"/>
        <w:spacing w:before="360" w:after="240"/>
        <w:ind w:left="1701" w:hanging="1701"/>
        <w:rPr>
          <w:rFonts w:asciiTheme="minorHAnsi" w:hAnsiTheme="minorHAnsi" w:cstheme="minorHAnsi"/>
          <w:b/>
          <w:bCs/>
          <w:sz w:val="28"/>
          <w:szCs w:val="28"/>
          <w:lang w:eastAsia="de-DE"/>
        </w:rPr>
      </w:pPr>
      <w:r w:rsidRPr="001E1A9A">
        <w:rPr>
          <w:rFonts w:asciiTheme="minorHAnsi" w:hAnsiTheme="minorHAnsi" w:cstheme="minorHAnsi"/>
          <w:b/>
          <w:bCs/>
          <w:sz w:val="28"/>
          <w:szCs w:val="28"/>
          <w:lang w:eastAsia="de-DE"/>
        </w:rPr>
        <w:t>Chapter 2</w:t>
      </w:r>
      <w:r w:rsidRPr="001E1A9A">
        <w:rPr>
          <w:rFonts w:asciiTheme="minorHAnsi" w:hAnsiTheme="minorHAnsi" w:cstheme="minorHAnsi"/>
          <w:b/>
          <w:bCs/>
          <w:sz w:val="28"/>
          <w:szCs w:val="28"/>
          <w:lang w:eastAsia="de-DE"/>
        </w:rPr>
        <w:tab/>
        <w:t>Global Risk Trends</w:t>
      </w:r>
    </w:p>
    <w:p w:rsidR="003F49AC" w:rsidRPr="004E5027" w:rsidRDefault="006926F0" w:rsidP="00344D4F">
      <w:pPr>
        <w:rPr>
          <w:rFonts w:ascii="Calibri" w:hAnsi="Calibri" w:cs="Calibri"/>
          <w:color w:val="000000" w:themeColor="text1"/>
          <w:sz w:val="24"/>
          <w:szCs w:val="24"/>
        </w:rPr>
      </w:pPr>
      <w:r>
        <w:rPr>
          <w:rFonts w:ascii="Calibri" w:hAnsi="Calibri" w:cs="Calibri"/>
          <w:color w:val="000000" w:themeColor="text1"/>
          <w:sz w:val="24"/>
          <w:szCs w:val="24"/>
        </w:rPr>
        <w:t>Chapter 2 will explore</w:t>
      </w:r>
      <w:r w:rsidRPr="006926F0">
        <w:rPr>
          <w:rFonts w:ascii="Calibri" w:hAnsi="Calibri" w:cs="Calibri"/>
          <w:color w:val="000000" w:themeColor="text1"/>
          <w:sz w:val="24"/>
          <w:szCs w:val="24"/>
        </w:rPr>
        <w:t xml:space="preserve"> current and future risk tr</w:t>
      </w:r>
      <w:r w:rsidRPr="004E5027">
        <w:rPr>
          <w:rFonts w:ascii="Calibri" w:hAnsi="Calibri" w:cs="Calibri"/>
          <w:color w:val="000000" w:themeColor="text1"/>
          <w:sz w:val="24"/>
          <w:szCs w:val="24"/>
        </w:rPr>
        <w:t>ends,</w:t>
      </w:r>
      <w:r w:rsidR="001C6E8B" w:rsidRPr="004E5027">
        <w:rPr>
          <w:rFonts w:ascii="Calibri" w:hAnsi="Calibri" w:cs="Calibri"/>
          <w:color w:val="000000" w:themeColor="text1"/>
          <w:sz w:val="24"/>
          <w:szCs w:val="24"/>
        </w:rPr>
        <w:t xml:space="preserve"> </w:t>
      </w:r>
      <w:r w:rsidR="003970A8">
        <w:rPr>
          <w:rFonts w:ascii="Calibri" w:hAnsi="Calibri" w:cs="Calibri"/>
          <w:color w:val="000000" w:themeColor="text1"/>
          <w:sz w:val="24"/>
          <w:szCs w:val="24"/>
        </w:rPr>
        <w:t>introducing</w:t>
      </w:r>
      <w:r w:rsidRPr="004E5027">
        <w:rPr>
          <w:rFonts w:ascii="Calibri" w:hAnsi="Calibri" w:cs="Calibri"/>
          <w:color w:val="000000" w:themeColor="text1"/>
          <w:sz w:val="24"/>
          <w:szCs w:val="24"/>
        </w:rPr>
        <w:t xml:space="preserve"> a systemic risk approach, with emphasis on drought as </w:t>
      </w:r>
      <w:r w:rsidR="00F06626" w:rsidRPr="004E5027">
        <w:rPr>
          <w:rFonts w:ascii="Calibri" w:hAnsi="Calibri" w:cs="Calibri"/>
          <w:color w:val="000000" w:themeColor="text1"/>
          <w:sz w:val="24"/>
          <w:szCs w:val="24"/>
        </w:rPr>
        <w:t>exemplar</w:t>
      </w:r>
      <w:r w:rsidR="00924F82" w:rsidRPr="004E5027">
        <w:rPr>
          <w:rFonts w:ascii="Calibri" w:hAnsi="Calibri" w:cs="Calibri"/>
          <w:color w:val="000000" w:themeColor="text1"/>
          <w:sz w:val="24"/>
          <w:szCs w:val="24"/>
        </w:rPr>
        <w:t xml:space="preserve"> </w:t>
      </w:r>
      <w:r w:rsidRPr="004E5027">
        <w:rPr>
          <w:rFonts w:ascii="Calibri" w:hAnsi="Calibri" w:cs="Calibri"/>
          <w:color w:val="000000" w:themeColor="text1"/>
          <w:sz w:val="24"/>
          <w:szCs w:val="24"/>
        </w:rPr>
        <w:t xml:space="preserve">of complex, multi-dimensional, cascading risk. The chapter will </w:t>
      </w:r>
      <w:r w:rsidR="001C6E8B" w:rsidRPr="004E5027">
        <w:rPr>
          <w:rFonts w:ascii="Calibri" w:hAnsi="Calibri" w:cs="Calibri"/>
          <w:color w:val="000000" w:themeColor="text1"/>
          <w:sz w:val="24"/>
          <w:szCs w:val="24"/>
        </w:rPr>
        <w:t>describe</w:t>
      </w:r>
      <w:r w:rsidRPr="004E5027">
        <w:rPr>
          <w:rFonts w:ascii="Calibri" w:hAnsi="Calibri" w:cs="Calibri"/>
          <w:color w:val="000000" w:themeColor="text1"/>
          <w:sz w:val="24"/>
          <w:szCs w:val="24"/>
        </w:rPr>
        <w:t xml:space="preserve"> the </w:t>
      </w:r>
      <w:r w:rsidR="001C6E8B" w:rsidRPr="004E5027">
        <w:rPr>
          <w:rFonts w:ascii="Calibri" w:hAnsi="Calibri" w:cs="Calibri"/>
          <w:color w:val="000000" w:themeColor="text1"/>
          <w:sz w:val="24"/>
          <w:szCs w:val="24"/>
        </w:rPr>
        <w:t xml:space="preserve">concept and roadmap for developing the </w:t>
      </w:r>
      <w:r w:rsidRPr="004E5027">
        <w:rPr>
          <w:rFonts w:ascii="Calibri" w:hAnsi="Calibri" w:cs="Calibri"/>
          <w:color w:val="000000" w:themeColor="text1"/>
          <w:sz w:val="24"/>
          <w:szCs w:val="24"/>
        </w:rPr>
        <w:t>Global Risk Assessment Framework</w:t>
      </w:r>
      <w:r w:rsidR="001C6E8B" w:rsidRPr="004E5027">
        <w:rPr>
          <w:rFonts w:ascii="Calibri" w:hAnsi="Calibri" w:cs="Calibri"/>
          <w:color w:val="000000" w:themeColor="text1"/>
          <w:sz w:val="24"/>
          <w:szCs w:val="24"/>
        </w:rPr>
        <w:t xml:space="preserve">, </w:t>
      </w:r>
      <w:r w:rsidR="00F06626" w:rsidRPr="001E1A9A">
        <w:rPr>
          <w:bCs/>
          <w:sz w:val="24"/>
          <w:szCs w:val="24"/>
        </w:rPr>
        <w:t xml:space="preserve">and the shift to inclusive, collaborative </w:t>
      </w:r>
      <w:proofErr w:type="spellStart"/>
      <w:r w:rsidR="00F06626" w:rsidRPr="001E1A9A">
        <w:rPr>
          <w:bCs/>
          <w:sz w:val="24"/>
          <w:szCs w:val="24"/>
        </w:rPr>
        <w:t>modelling</w:t>
      </w:r>
      <w:proofErr w:type="spellEnd"/>
      <w:r w:rsidR="00F06626" w:rsidRPr="001E1A9A">
        <w:rPr>
          <w:bCs/>
          <w:sz w:val="24"/>
          <w:szCs w:val="24"/>
        </w:rPr>
        <w:t xml:space="preserve"> and assessment approaches providing systems risk perspectives, </w:t>
      </w:r>
      <w:r w:rsidR="00F06626" w:rsidRPr="004E5027">
        <w:rPr>
          <w:rFonts w:ascii="Calibri" w:hAnsi="Calibri" w:cs="Calibri"/>
          <w:color w:val="000000" w:themeColor="text1"/>
          <w:sz w:val="24"/>
          <w:szCs w:val="24"/>
        </w:rPr>
        <w:t>able to</w:t>
      </w:r>
      <w:r w:rsidR="001C6E8B" w:rsidRPr="004E5027">
        <w:rPr>
          <w:rFonts w:ascii="Calibri" w:hAnsi="Calibri" w:cs="Calibri"/>
          <w:color w:val="000000" w:themeColor="text1"/>
          <w:sz w:val="24"/>
          <w:szCs w:val="24"/>
        </w:rPr>
        <w:t xml:space="preserve"> combine and inter-compare a variety of risk information </w:t>
      </w:r>
      <w:r w:rsidR="00F06626" w:rsidRPr="004E5027">
        <w:rPr>
          <w:rFonts w:ascii="Calibri" w:hAnsi="Calibri" w:cs="Calibri"/>
          <w:color w:val="000000" w:themeColor="text1"/>
          <w:sz w:val="24"/>
          <w:szCs w:val="24"/>
        </w:rPr>
        <w:t>translating</w:t>
      </w:r>
      <w:r w:rsidR="001C6E8B" w:rsidRPr="004E5027">
        <w:rPr>
          <w:rFonts w:ascii="Calibri" w:hAnsi="Calibri" w:cs="Calibri"/>
          <w:color w:val="000000" w:themeColor="text1"/>
          <w:sz w:val="24"/>
          <w:szCs w:val="24"/>
        </w:rPr>
        <w:t xml:space="preserve"> it into understandable and applicable tools and products that</w:t>
      </w:r>
      <w:r w:rsidRPr="004E5027">
        <w:rPr>
          <w:rFonts w:ascii="Calibri" w:hAnsi="Calibri" w:cs="Calibri"/>
          <w:color w:val="000000" w:themeColor="text1"/>
          <w:sz w:val="24"/>
          <w:szCs w:val="24"/>
        </w:rPr>
        <w:t xml:space="preserve"> will support </w:t>
      </w:r>
      <w:r w:rsidR="001C6E8B" w:rsidRPr="004E5027">
        <w:rPr>
          <w:rFonts w:ascii="Calibri" w:hAnsi="Calibri" w:cs="Calibri"/>
          <w:color w:val="000000" w:themeColor="text1"/>
          <w:sz w:val="24"/>
          <w:szCs w:val="24"/>
        </w:rPr>
        <w:t>risk-informed decision-making.</w:t>
      </w:r>
    </w:p>
    <w:p w:rsidR="006C3834" w:rsidRPr="00344D4F" w:rsidRDefault="006C3834" w:rsidP="006C3834">
      <w:pPr>
        <w:keepNext/>
        <w:keepLines/>
        <w:spacing w:before="360" w:after="120"/>
        <w:ind w:left="709" w:hanging="709"/>
        <w:jc w:val="both"/>
        <w:outlineLvl w:val="2"/>
        <w:rPr>
          <w:rFonts w:cstheme="minorHAnsi"/>
          <w:b/>
          <w:bCs/>
          <w:color w:val="2F5496" w:themeColor="accent1" w:themeShade="BF"/>
          <w:sz w:val="26"/>
          <w:szCs w:val="26"/>
        </w:rPr>
      </w:pPr>
      <w:r w:rsidRPr="00344D4F">
        <w:rPr>
          <w:rFonts w:cstheme="minorHAnsi"/>
          <w:b/>
          <w:bCs/>
          <w:color w:val="2F5496" w:themeColor="accent1" w:themeShade="BF"/>
          <w:sz w:val="26"/>
          <w:szCs w:val="26"/>
        </w:rPr>
        <w:t>2.1</w:t>
      </w:r>
      <w:r w:rsidRPr="00344D4F">
        <w:rPr>
          <w:rFonts w:cstheme="minorHAnsi"/>
          <w:b/>
          <w:bCs/>
          <w:color w:val="2F5496" w:themeColor="accent1" w:themeShade="BF"/>
          <w:sz w:val="26"/>
          <w:szCs w:val="26"/>
        </w:rPr>
        <w:tab/>
        <w:t>Global Risk Trends – on the road to a comprehensive Global Risk Assessment Framework</w:t>
      </w:r>
    </w:p>
    <w:p w:rsidR="00E83D17" w:rsidRPr="004E5027" w:rsidRDefault="001E1A9A" w:rsidP="00E83D17">
      <w:pPr>
        <w:rPr>
          <w:rFonts w:cs="Calibri"/>
          <w:color w:val="000000" w:themeColor="text1"/>
          <w:sz w:val="24"/>
          <w:szCs w:val="24"/>
        </w:rPr>
      </w:pPr>
      <w:r>
        <w:rPr>
          <w:rFonts w:cs="Calibri"/>
          <w:color w:val="000000" w:themeColor="text1"/>
          <w:sz w:val="24"/>
          <w:szCs w:val="24"/>
        </w:rPr>
        <w:t xml:space="preserve">Papers </w:t>
      </w:r>
      <w:r w:rsidR="00E83D17" w:rsidRPr="004E5027">
        <w:rPr>
          <w:rFonts w:cs="Calibri"/>
          <w:color w:val="000000" w:themeColor="text1"/>
          <w:sz w:val="24"/>
          <w:szCs w:val="24"/>
        </w:rPr>
        <w:t xml:space="preserve">should </w:t>
      </w:r>
      <w:r w:rsidR="00F06626" w:rsidRPr="004E5027">
        <w:rPr>
          <w:rFonts w:cs="Calibri"/>
          <w:color w:val="000000" w:themeColor="text1"/>
          <w:sz w:val="24"/>
          <w:szCs w:val="24"/>
        </w:rPr>
        <w:t>address</w:t>
      </w:r>
      <w:r w:rsidR="00E83D17" w:rsidRPr="004E5027">
        <w:rPr>
          <w:rFonts w:cs="Calibri"/>
          <w:color w:val="000000" w:themeColor="text1"/>
          <w:sz w:val="24"/>
          <w:szCs w:val="24"/>
        </w:rPr>
        <w:t xml:space="preserve"> on</w:t>
      </w:r>
      <w:r w:rsidR="001E7791" w:rsidRPr="004E5027">
        <w:rPr>
          <w:rFonts w:cs="Calibri"/>
          <w:color w:val="000000" w:themeColor="text1"/>
          <w:sz w:val="24"/>
          <w:szCs w:val="24"/>
        </w:rPr>
        <w:t>e</w:t>
      </w:r>
      <w:r w:rsidR="00E83D17" w:rsidRPr="004E5027">
        <w:rPr>
          <w:rFonts w:cs="Calibri"/>
          <w:color w:val="000000" w:themeColor="text1"/>
          <w:sz w:val="24"/>
          <w:szCs w:val="24"/>
        </w:rPr>
        <w:t xml:space="preserve"> or more of the below topics:</w:t>
      </w:r>
    </w:p>
    <w:p w:rsidR="00F06626" w:rsidRPr="004E5027" w:rsidRDefault="00F06626" w:rsidP="00DB6B43">
      <w:pPr>
        <w:pStyle w:val="ListParagraph"/>
        <w:numPr>
          <w:ilvl w:val="0"/>
          <w:numId w:val="29"/>
        </w:numPr>
        <w:rPr>
          <w:rFonts w:cs="Calibri"/>
          <w:color w:val="000000" w:themeColor="text1"/>
          <w:sz w:val="24"/>
          <w:szCs w:val="24"/>
        </w:rPr>
      </w:pPr>
      <w:r w:rsidRPr="004E5027">
        <w:rPr>
          <w:rFonts w:cs="Calibri"/>
          <w:color w:val="000000" w:themeColor="text1"/>
          <w:sz w:val="24"/>
          <w:szCs w:val="24"/>
        </w:rPr>
        <w:t>Current global and future risk trends regarding</w:t>
      </w:r>
      <w:r w:rsidRPr="001E1A9A">
        <w:rPr>
          <w:rFonts w:cstheme="minorHAnsi"/>
          <w:color w:val="000000"/>
          <w:sz w:val="24"/>
          <w:szCs w:val="24"/>
        </w:rPr>
        <w:t xml:space="preserve"> geological or geophysical</w:t>
      </w:r>
      <w:r w:rsidRPr="001E1A9A">
        <w:rPr>
          <w:rStyle w:val="EndnoteReference"/>
          <w:rFonts w:cstheme="minorHAnsi"/>
          <w:color w:val="000000"/>
          <w:sz w:val="24"/>
          <w:szCs w:val="24"/>
        </w:rPr>
        <w:endnoteReference w:id="1"/>
      </w:r>
      <w:r w:rsidRPr="001E1A9A">
        <w:rPr>
          <w:rFonts w:cstheme="minorHAnsi"/>
          <w:color w:val="000000"/>
          <w:sz w:val="24"/>
          <w:szCs w:val="24"/>
        </w:rPr>
        <w:t>, hydro-meteorological</w:t>
      </w:r>
      <w:r w:rsidRPr="001E1A9A">
        <w:rPr>
          <w:rStyle w:val="EndnoteReference"/>
          <w:rFonts w:cstheme="minorHAnsi"/>
          <w:color w:val="000000"/>
          <w:sz w:val="24"/>
          <w:szCs w:val="24"/>
        </w:rPr>
        <w:endnoteReference w:id="2"/>
      </w:r>
      <w:r w:rsidRPr="001E1A9A">
        <w:rPr>
          <w:rFonts w:cstheme="minorHAnsi"/>
          <w:color w:val="000000"/>
          <w:sz w:val="24"/>
          <w:szCs w:val="24"/>
        </w:rPr>
        <w:t>, slow and rapid onset hazards</w:t>
      </w:r>
      <w:r w:rsidRPr="001E1A9A">
        <w:rPr>
          <w:rStyle w:val="EndnoteReference"/>
          <w:rFonts w:cstheme="minorHAnsi"/>
          <w:color w:val="000000"/>
          <w:sz w:val="24"/>
          <w:szCs w:val="24"/>
        </w:rPr>
        <w:endnoteReference w:id="3"/>
      </w:r>
      <w:r w:rsidRPr="001E1A9A">
        <w:rPr>
          <w:rFonts w:cstheme="minorHAnsi"/>
          <w:color w:val="000000"/>
          <w:sz w:val="24"/>
          <w:szCs w:val="24"/>
        </w:rPr>
        <w:t xml:space="preserve"> </w:t>
      </w:r>
      <w:r w:rsidRPr="004E5027">
        <w:rPr>
          <w:rFonts w:cs="Calibri"/>
          <w:color w:val="000000" w:themeColor="text1"/>
          <w:sz w:val="24"/>
          <w:szCs w:val="24"/>
        </w:rPr>
        <w:t>at any scale</w:t>
      </w:r>
    </w:p>
    <w:p w:rsidR="004E5027" w:rsidRDefault="004E5027" w:rsidP="001E1A9A">
      <w:pPr>
        <w:pStyle w:val="ListParagraph"/>
        <w:numPr>
          <w:ilvl w:val="0"/>
          <w:numId w:val="29"/>
        </w:numPr>
        <w:rPr>
          <w:rFonts w:cs="Calibri"/>
          <w:color w:val="000000" w:themeColor="text1"/>
          <w:sz w:val="24"/>
          <w:szCs w:val="24"/>
        </w:rPr>
      </w:pPr>
      <w:r>
        <w:rPr>
          <w:rFonts w:cs="Calibri"/>
          <w:color w:val="000000" w:themeColor="text1"/>
          <w:sz w:val="24"/>
          <w:szCs w:val="24"/>
        </w:rPr>
        <w:t>Updated vulnerability analyses, especially social vulnerability</w:t>
      </w:r>
    </w:p>
    <w:p w:rsidR="00DB6B43" w:rsidRDefault="00DB6B43" w:rsidP="001E1A9A">
      <w:pPr>
        <w:pStyle w:val="ListParagraph"/>
        <w:numPr>
          <w:ilvl w:val="0"/>
          <w:numId w:val="29"/>
        </w:numPr>
        <w:rPr>
          <w:rFonts w:cs="Calibri"/>
          <w:color w:val="000000" w:themeColor="text1"/>
          <w:sz w:val="24"/>
          <w:szCs w:val="24"/>
        </w:rPr>
      </w:pPr>
      <w:r>
        <w:rPr>
          <w:rFonts w:cs="Calibri"/>
          <w:color w:val="000000" w:themeColor="text1"/>
          <w:sz w:val="24"/>
          <w:szCs w:val="24"/>
        </w:rPr>
        <w:t>Updated representation of global exposure to hazards</w:t>
      </w:r>
    </w:p>
    <w:p w:rsidR="003F49AC" w:rsidRPr="00617F62" w:rsidRDefault="00617F62" w:rsidP="007B71A3">
      <w:pPr>
        <w:pStyle w:val="ListParagraph"/>
        <w:numPr>
          <w:ilvl w:val="0"/>
          <w:numId w:val="29"/>
        </w:numPr>
        <w:rPr>
          <w:rFonts w:cs="Calibri"/>
          <w:color w:val="000000" w:themeColor="text1"/>
          <w:sz w:val="24"/>
          <w:szCs w:val="24"/>
        </w:rPr>
      </w:pPr>
      <w:proofErr w:type="gramStart"/>
      <w:r>
        <w:rPr>
          <w:rFonts w:cs="Calibri"/>
          <w:color w:val="000000" w:themeColor="text1"/>
          <w:sz w:val="24"/>
          <w:szCs w:val="24"/>
        </w:rPr>
        <w:t>Analysis of d</w:t>
      </w:r>
      <w:r w:rsidRPr="008375AF">
        <w:rPr>
          <w:rFonts w:cs="Calibri"/>
          <w:color w:val="000000" w:themeColor="text1"/>
          <w:sz w:val="24"/>
          <w:szCs w:val="24"/>
        </w:rPr>
        <w:t>isaster risk</w:t>
      </w:r>
      <w:proofErr w:type="gramEnd"/>
      <w:r w:rsidRPr="008375AF">
        <w:rPr>
          <w:rFonts w:cs="Calibri"/>
          <w:color w:val="000000" w:themeColor="text1"/>
          <w:sz w:val="24"/>
          <w:szCs w:val="24"/>
        </w:rPr>
        <w:t xml:space="preserve"> impact / consequence</w:t>
      </w:r>
      <w:r>
        <w:rPr>
          <w:rFonts w:cs="Calibri"/>
          <w:color w:val="000000" w:themeColor="text1"/>
          <w:sz w:val="24"/>
          <w:szCs w:val="24"/>
        </w:rPr>
        <w:t xml:space="preserve"> – </w:t>
      </w:r>
      <w:proofErr w:type="spellStart"/>
      <w:r>
        <w:rPr>
          <w:rFonts w:cs="Calibri"/>
          <w:color w:val="000000" w:themeColor="text1"/>
          <w:sz w:val="24"/>
          <w:szCs w:val="24"/>
        </w:rPr>
        <w:t>sectoral</w:t>
      </w:r>
      <w:proofErr w:type="spellEnd"/>
      <w:r>
        <w:rPr>
          <w:rFonts w:cs="Calibri"/>
          <w:color w:val="000000" w:themeColor="text1"/>
          <w:sz w:val="24"/>
          <w:szCs w:val="24"/>
        </w:rPr>
        <w:t>, cascading</w:t>
      </w:r>
      <w:r w:rsidRPr="008375AF">
        <w:rPr>
          <w:rFonts w:cs="Calibri"/>
          <w:color w:val="000000" w:themeColor="text1"/>
          <w:sz w:val="24"/>
          <w:szCs w:val="24"/>
        </w:rPr>
        <w:t xml:space="preserve"> (</w:t>
      </w:r>
      <w:r>
        <w:rPr>
          <w:rFonts w:cs="Calibri"/>
          <w:color w:val="000000" w:themeColor="text1"/>
          <w:sz w:val="24"/>
          <w:szCs w:val="24"/>
        </w:rPr>
        <w:t>impact models</w:t>
      </w:r>
      <w:r w:rsidRPr="008375AF">
        <w:rPr>
          <w:rFonts w:cs="Calibri"/>
          <w:color w:val="000000" w:themeColor="text1"/>
          <w:sz w:val="24"/>
          <w:szCs w:val="24"/>
        </w:rPr>
        <w:t xml:space="preserve">, </w:t>
      </w:r>
      <w:r>
        <w:rPr>
          <w:rFonts w:cs="Calibri"/>
          <w:color w:val="000000" w:themeColor="text1"/>
          <w:sz w:val="24"/>
          <w:szCs w:val="24"/>
        </w:rPr>
        <w:t>conceptual models, etc.</w:t>
      </w:r>
      <w:r w:rsidRPr="008375AF">
        <w:rPr>
          <w:rFonts w:cs="Calibri"/>
          <w:color w:val="000000" w:themeColor="text1"/>
          <w:sz w:val="24"/>
          <w:szCs w:val="24"/>
        </w:rPr>
        <w:t>)</w:t>
      </w:r>
    </w:p>
    <w:p w:rsidR="0095009E" w:rsidRDefault="0095009E" w:rsidP="001E1A9A">
      <w:pPr>
        <w:pStyle w:val="ListParagraph"/>
        <w:numPr>
          <w:ilvl w:val="0"/>
          <w:numId w:val="29"/>
        </w:numPr>
        <w:rPr>
          <w:rFonts w:cs="Calibri"/>
          <w:color w:val="000000" w:themeColor="text1"/>
          <w:sz w:val="24"/>
          <w:szCs w:val="24"/>
        </w:rPr>
      </w:pPr>
      <w:r w:rsidRPr="004E5027">
        <w:rPr>
          <w:rFonts w:cs="Calibri"/>
          <w:color w:val="000000" w:themeColor="text1"/>
          <w:sz w:val="24"/>
          <w:szCs w:val="24"/>
        </w:rPr>
        <w:t xml:space="preserve">Inter-comparison </w:t>
      </w:r>
      <w:r w:rsidR="00720547">
        <w:rPr>
          <w:rFonts w:cs="Calibri"/>
          <w:color w:val="000000" w:themeColor="text1"/>
          <w:sz w:val="24"/>
          <w:szCs w:val="24"/>
        </w:rPr>
        <w:t xml:space="preserve">approaches – </w:t>
      </w:r>
      <w:r w:rsidR="0031745C" w:rsidRPr="004E5027">
        <w:rPr>
          <w:rFonts w:cs="Calibri"/>
          <w:color w:val="000000" w:themeColor="text1"/>
          <w:sz w:val="24"/>
          <w:szCs w:val="24"/>
        </w:rPr>
        <w:t>risk</w:t>
      </w:r>
      <w:r w:rsidR="00720547">
        <w:rPr>
          <w:rFonts w:cs="Calibri"/>
          <w:color w:val="000000" w:themeColor="text1"/>
          <w:sz w:val="24"/>
          <w:szCs w:val="24"/>
        </w:rPr>
        <w:t xml:space="preserve"> </w:t>
      </w:r>
      <w:r w:rsidRPr="004E5027">
        <w:rPr>
          <w:rFonts w:cs="Calibri"/>
          <w:color w:val="000000" w:themeColor="text1"/>
          <w:sz w:val="24"/>
          <w:szCs w:val="24"/>
        </w:rPr>
        <w:t>models</w:t>
      </w:r>
      <w:r w:rsidR="00720547">
        <w:rPr>
          <w:rFonts w:cs="Calibri"/>
          <w:color w:val="000000" w:themeColor="text1"/>
          <w:sz w:val="24"/>
          <w:szCs w:val="24"/>
        </w:rPr>
        <w:t xml:space="preserve">, risk assessment, impact models; pros / cons in defining </w:t>
      </w:r>
      <w:r w:rsidRPr="004E5027">
        <w:rPr>
          <w:rFonts w:cs="Calibri"/>
          <w:color w:val="000000" w:themeColor="text1"/>
          <w:sz w:val="24"/>
          <w:szCs w:val="24"/>
        </w:rPr>
        <w:t>risk trends</w:t>
      </w:r>
    </w:p>
    <w:p w:rsidR="00B04B79" w:rsidRDefault="00B04B79" w:rsidP="00B04B79">
      <w:pPr>
        <w:pStyle w:val="ListParagraph"/>
        <w:ind w:left="360"/>
        <w:rPr>
          <w:rFonts w:cs="Calibri"/>
          <w:color w:val="000000" w:themeColor="text1"/>
          <w:sz w:val="24"/>
          <w:szCs w:val="24"/>
        </w:rPr>
      </w:pPr>
    </w:p>
    <w:p w:rsidR="0031745C" w:rsidRPr="00344D4F" w:rsidRDefault="0031745C" w:rsidP="0031745C">
      <w:pPr>
        <w:spacing w:before="480" w:after="240" w:line="240" w:lineRule="auto"/>
        <w:jc w:val="both"/>
        <w:rPr>
          <w:rFonts w:cstheme="minorHAnsi"/>
          <w:b/>
          <w:bCs/>
          <w:color w:val="2F5496" w:themeColor="accent1" w:themeShade="BF"/>
          <w:sz w:val="26"/>
          <w:szCs w:val="26"/>
        </w:rPr>
      </w:pPr>
      <w:r w:rsidRPr="00344D4F">
        <w:rPr>
          <w:rFonts w:cstheme="minorHAnsi"/>
          <w:b/>
          <w:bCs/>
          <w:color w:val="2F5496" w:themeColor="accent1" w:themeShade="BF"/>
          <w:sz w:val="26"/>
          <w:szCs w:val="26"/>
        </w:rPr>
        <w:lastRenderedPageBreak/>
        <w:t>2.2</w:t>
      </w:r>
      <w:r w:rsidRPr="00344D4F">
        <w:rPr>
          <w:rFonts w:cstheme="minorHAnsi"/>
          <w:b/>
          <w:bCs/>
          <w:color w:val="2F5496" w:themeColor="accent1" w:themeShade="BF"/>
          <w:sz w:val="26"/>
          <w:szCs w:val="26"/>
        </w:rPr>
        <w:tab/>
        <w:t>Global Drought Risk examined</w:t>
      </w:r>
    </w:p>
    <w:p w:rsidR="0031745C" w:rsidRPr="008D13B3" w:rsidRDefault="001E1A9A" w:rsidP="0031745C">
      <w:pPr>
        <w:rPr>
          <w:rFonts w:cs="Calibri"/>
          <w:color w:val="000000" w:themeColor="text1"/>
          <w:sz w:val="24"/>
          <w:szCs w:val="24"/>
        </w:rPr>
      </w:pPr>
      <w:r>
        <w:rPr>
          <w:rFonts w:cs="Calibri"/>
          <w:color w:val="000000" w:themeColor="text1"/>
          <w:sz w:val="24"/>
          <w:szCs w:val="24"/>
        </w:rPr>
        <w:t xml:space="preserve">Papers </w:t>
      </w:r>
      <w:r w:rsidR="0031745C" w:rsidRPr="008D13B3">
        <w:rPr>
          <w:rFonts w:cs="Calibri"/>
          <w:color w:val="000000" w:themeColor="text1"/>
          <w:sz w:val="24"/>
          <w:szCs w:val="24"/>
        </w:rPr>
        <w:t xml:space="preserve">should </w:t>
      </w:r>
      <w:r w:rsidR="00F06626" w:rsidRPr="008D13B3">
        <w:rPr>
          <w:rFonts w:cs="Calibri"/>
          <w:color w:val="000000" w:themeColor="text1"/>
          <w:sz w:val="24"/>
          <w:szCs w:val="24"/>
        </w:rPr>
        <w:t>address</w:t>
      </w:r>
      <w:r w:rsidR="0031745C" w:rsidRPr="008D13B3">
        <w:rPr>
          <w:rFonts w:cs="Calibri"/>
          <w:color w:val="000000" w:themeColor="text1"/>
          <w:sz w:val="24"/>
          <w:szCs w:val="24"/>
        </w:rPr>
        <w:t xml:space="preserve"> on</w:t>
      </w:r>
      <w:r w:rsidR="001E7791" w:rsidRPr="008D13B3">
        <w:rPr>
          <w:rFonts w:cs="Calibri"/>
          <w:color w:val="000000" w:themeColor="text1"/>
          <w:sz w:val="24"/>
          <w:szCs w:val="24"/>
        </w:rPr>
        <w:t>e</w:t>
      </w:r>
      <w:r w:rsidR="0031745C" w:rsidRPr="008D13B3">
        <w:rPr>
          <w:rFonts w:cs="Calibri"/>
          <w:color w:val="000000" w:themeColor="text1"/>
          <w:sz w:val="24"/>
          <w:szCs w:val="24"/>
        </w:rPr>
        <w:t xml:space="preserve"> or more of the below topics:</w:t>
      </w:r>
    </w:p>
    <w:p w:rsidR="00617F62" w:rsidRPr="008D13B3" w:rsidRDefault="00BC5E10" w:rsidP="001E1A9A">
      <w:pPr>
        <w:pStyle w:val="ListParagraph"/>
        <w:numPr>
          <w:ilvl w:val="0"/>
          <w:numId w:val="29"/>
        </w:numPr>
        <w:ind w:left="357" w:hanging="357"/>
        <w:rPr>
          <w:rFonts w:cs="Calibri"/>
          <w:color w:val="000000" w:themeColor="text1"/>
          <w:sz w:val="24"/>
          <w:szCs w:val="24"/>
        </w:rPr>
      </w:pPr>
      <w:r w:rsidRPr="008D13B3">
        <w:rPr>
          <w:rFonts w:cs="Calibri"/>
          <w:color w:val="000000" w:themeColor="text1"/>
          <w:sz w:val="24"/>
          <w:szCs w:val="24"/>
        </w:rPr>
        <w:t>Drought risk components (hazard, exposure, vulnerability) and drivers</w:t>
      </w:r>
    </w:p>
    <w:p w:rsidR="00BC5E10" w:rsidRPr="008D13B3" w:rsidRDefault="00BC5E10" w:rsidP="001E1A9A">
      <w:pPr>
        <w:pStyle w:val="ListParagraph"/>
        <w:numPr>
          <w:ilvl w:val="0"/>
          <w:numId w:val="29"/>
        </w:numPr>
        <w:ind w:left="357" w:hanging="357"/>
        <w:rPr>
          <w:rFonts w:cs="Calibri"/>
          <w:color w:val="000000" w:themeColor="text1"/>
          <w:sz w:val="24"/>
          <w:szCs w:val="24"/>
        </w:rPr>
      </w:pPr>
      <w:r w:rsidRPr="008D13B3">
        <w:rPr>
          <w:rFonts w:cs="Calibri"/>
          <w:color w:val="000000" w:themeColor="text1"/>
          <w:sz w:val="24"/>
          <w:szCs w:val="24"/>
        </w:rPr>
        <w:t>Drought risk – scale and impact</w:t>
      </w:r>
    </w:p>
    <w:p w:rsidR="00BC5E10" w:rsidRPr="008D13B3" w:rsidRDefault="00BC5E10" w:rsidP="001E1A9A">
      <w:pPr>
        <w:pStyle w:val="ListParagraph"/>
        <w:numPr>
          <w:ilvl w:val="0"/>
          <w:numId w:val="29"/>
        </w:numPr>
        <w:ind w:left="357" w:hanging="357"/>
        <w:rPr>
          <w:rFonts w:cs="Calibri"/>
          <w:color w:val="000000" w:themeColor="text1"/>
          <w:sz w:val="24"/>
          <w:szCs w:val="24"/>
        </w:rPr>
      </w:pPr>
      <w:r w:rsidRPr="008D13B3">
        <w:rPr>
          <w:rFonts w:cs="Calibri"/>
          <w:color w:val="000000" w:themeColor="text1"/>
          <w:sz w:val="24"/>
          <w:szCs w:val="24"/>
        </w:rPr>
        <w:t>Agricultural drought risk – farming systems, food systems, market dynamics</w:t>
      </w:r>
    </w:p>
    <w:p w:rsidR="009C5ED6" w:rsidRPr="001E1A9A" w:rsidRDefault="00BC5E10">
      <w:pPr>
        <w:pStyle w:val="ListParagraph"/>
        <w:numPr>
          <w:ilvl w:val="0"/>
          <w:numId w:val="29"/>
        </w:numPr>
        <w:rPr>
          <w:rFonts w:cs="Calibri"/>
          <w:color w:val="000000" w:themeColor="text1"/>
          <w:sz w:val="24"/>
          <w:szCs w:val="24"/>
        </w:rPr>
      </w:pPr>
      <w:r w:rsidRPr="008D13B3">
        <w:rPr>
          <w:rFonts w:cs="Calibri"/>
          <w:color w:val="000000" w:themeColor="text1"/>
          <w:sz w:val="24"/>
          <w:szCs w:val="24"/>
        </w:rPr>
        <w:t>Drought risk management – proactive, reactive</w:t>
      </w:r>
      <w:r w:rsidR="009C5ED6" w:rsidRPr="008D13B3">
        <w:rPr>
          <w:rFonts w:cs="Calibri"/>
          <w:color w:val="000000" w:themeColor="text1"/>
          <w:sz w:val="24"/>
          <w:szCs w:val="24"/>
        </w:rPr>
        <w:t>; policies and plans</w:t>
      </w:r>
    </w:p>
    <w:p w:rsidR="00334462" w:rsidRPr="00344D4F" w:rsidRDefault="00334462" w:rsidP="0031745C">
      <w:pPr>
        <w:spacing w:before="480" w:after="240" w:line="240" w:lineRule="auto"/>
        <w:jc w:val="both"/>
        <w:rPr>
          <w:rFonts w:cstheme="minorHAnsi"/>
          <w:color w:val="2F5496" w:themeColor="accent1" w:themeShade="BF"/>
          <w:sz w:val="26"/>
          <w:szCs w:val="26"/>
        </w:rPr>
      </w:pPr>
      <w:r w:rsidRPr="00344D4F">
        <w:rPr>
          <w:rFonts w:cstheme="minorHAnsi"/>
          <w:b/>
          <w:bCs/>
          <w:color w:val="2F5496" w:themeColor="accent1" w:themeShade="BF"/>
          <w:sz w:val="26"/>
          <w:szCs w:val="26"/>
        </w:rPr>
        <w:t>2.3</w:t>
      </w:r>
      <w:r w:rsidRPr="00344D4F">
        <w:rPr>
          <w:rFonts w:cstheme="minorHAnsi"/>
          <w:b/>
          <w:bCs/>
          <w:color w:val="2F5496" w:themeColor="accent1" w:themeShade="BF"/>
          <w:sz w:val="26"/>
          <w:szCs w:val="26"/>
        </w:rPr>
        <w:tab/>
        <w:t>Contextualizing global risk trends – making global risk data locally applicable</w:t>
      </w:r>
    </w:p>
    <w:p w:rsidR="00334462" w:rsidRDefault="001E1A9A" w:rsidP="00334462">
      <w:pPr>
        <w:rPr>
          <w:rFonts w:cs="Calibri"/>
          <w:color w:val="000000" w:themeColor="text1"/>
          <w:sz w:val="24"/>
          <w:szCs w:val="24"/>
        </w:rPr>
      </w:pPr>
      <w:r>
        <w:rPr>
          <w:rFonts w:cs="Calibri"/>
          <w:color w:val="000000" w:themeColor="text1"/>
          <w:sz w:val="24"/>
          <w:szCs w:val="24"/>
        </w:rPr>
        <w:t xml:space="preserve">Papers </w:t>
      </w:r>
      <w:r w:rsidR="00334462">
        <w:rPr>
          <w:rFonts w:cs="Calibri"/>
          <w:color w:val="000000" w:themeColor="text1"/>
          <w:sz w:val="24"/>
          <w:szCs w:val="24"/>
        </w:rPr>
        <w:t xml:space="preserve">should </w:t>
      </w:r>
      <w:r w:rsidR="00F06626">
        <w:rPr>
          <w:rFonts w:cs="Calibri"/>
          <w:color w:val="000000" w:themeColor="text1"/>
          <w:sz w:val="24"/>
          <w:szCs w:val="24"/>
        </w:rPr>
        <w:t>address</w:t>
      </w:r>
      <w:r w:rsidR="00334462">
        <w:rPr>
          <w:rFonts w:cs="Calibri"/>
          <w:color w:val="000000" w:themeColor="text1"/>
          <w:sz w:val="24"/>
          <w:szCs w:val="24"/>
        </w:rPr>
        <w:t xml:space="preserve"> on</w:t>
      </w:r>
      <w:r w:rsidR="001E7791">
        <w:rPr>
          <w:rFonts w:cs="Calibri"/>
          <w:color w:val="000000" w:themeColor="text1"/>
          <w:sz w:val="24"/>
          <w:szCs w:val="24"/>
        </w:rPr>
        <w:t>e</w:t>
      </w:r>
      <w:r w:rsidR="00334462">
        <w:rPr>
          <w:rFonts w:cs="Calibri"/>
          <w:color w:val="000000" w:themeColor="text1"/>
          <w:sz w:val="24"/>
          <w:szCs w:val="24"/>
        </w:rPr>
        <w:t xml:space="preserve"> or more of the below topics:</w:t>
      </w:r>
    </w:p>
    <w:p w:rsidR="009C5ED6" w:rsidRDefault="009C5ED6" w:rsidP="001E1A9A">
      <w:pPr>
        <w:pStyle w:val="ListParagraph"/>
        <w:numPr>
          <w:ilvl w:val="0"/>
          <w:numId w:val="33"/>
        </w:numPr>
        <w:ind w:left="357" w:hanging="357"/>
        <w:rPr>
          <w:rFonts w:cs="Calibri"/>
          <w:color w:val="000000" w:themeColor="text1"/>
          <w:sz w:val="24"/>
          <w:szCs w:val="24"/>
        </w:rPr>
      </w:pPr>
      <w:r w:rsidRPr="009C5ED6">
        <w:rPr>
          <w:rFonts w:cs="Calibri"/>
          <w:color w:val="000000" w:themeColor="text1"/>
          <w:sz w:val="24"/>
          <w:szCs w:val="24"/>
        </w:rPr>
        <w:t xml:space="preserve">Contextualizing global risk models for local action (for example, </w:t>
      </w:r>
      <w:r>
        <w:rPr>
          <w:rFonts w:cs="Calibri"/>
          <w:color w:val="000000" w:themeColor="text1"/>
          <w:sz w:val="24"/>
          <w:szCs w:val="24"/>
        </w:rPr>
        <w:t>through socio-economic indicators, innovative combination of various data sources, etc.)</w:t>
      </w:r>
    </w:p>
    <w:p w:rsidR="009C5ED6" w:rsidRPr="009C5ED6" w:rsidRDefault="009C5ED6" w:rsidP="001E1A9A">
      <w:pPr>
        <w:pStyle w:val="ListParagraph"/>
        <w:numPr>
          <w:ilvl w:val="0"/>
          <w:numId w:val="33"/>
        </w:numPr>
        <w:ind w:left="357" w:hanging="357"/>
        <w:rPr>
          <w:rFonts w:cs="Calibri"/>
          <w:color w:val="000000" w:themeColor="text1"/>
          <w:sz w:val="24"/>
          <w:szCs w:val="24"/>
        </w:rPr>
      </w:pPr>
      <w:r>
        <w:rPr>
          <w:rFonts w:cs="Calibri"/>
          <w:color w:val="000000" w:themeColor="text1"/>
          <w:sz w:val="24"/>
          <w:szCs w:val="24"/>
        </w:rPr>
        <w:t>Making data count; t</w:t>
      </w:r>
      <w:r w:rsidRPr="009C5ED6">
        <w:rPr>
          <w:rFonts w:cs="Calibri"/>
          <w:color w:val="000000" w:themeColor="text1"/>
          <w:sz w:val="24"/>
          <w:szCs w:val="24"/>
        </w:rPr>
        <w:t>he contribution of emerging technologies (AI, machine learning, deep learning, etc.)</w:t>
      </w:r>
    </w:p>
    <w:p w:rsidR="009C5ED6" w:rsidRPr="001E1A9A" w:rsidRDefault="009C5ED6" w:rsidP="001E1A9A">
      <w:pPr>
        <w:pStyle w:val="ListParagraph"/>
        <w:numPr>
          <w:ilvl w:val="0"/>
          <w:numId w:val="33"/>
        </w:numPr>
        <w:ind w:left="357" w:hanging="357"/>
        <w:rPr>
          <w:rFonts w:cs="Calibri"/>
          <w:color w:val="000000" w:themeColor="text1"/>
          <w:sz w:val="24"/>
          <w:szCs w:val="24"/>
        </w:rPr>
      </w:pPr>
      <w:r>
        <w:rPr>
          <w:rFonts w:cs="Calibri"/>
          <w:color w:val="000000" w:themeColor="text1"/>
          <w:sz w:val="24"/>
          <w:szCs w:val="24"/>
        </w:rPr>
        <w:t>Overcoming data gaps in developing risk trends</w:t>
      </w:r>
    </w:p>
    <w:p w:rsidR="00190626" w:rsidRPr="00344D4F" w:rsidRDefault="00190626" w:rsidP="00190626">
      <w:pPr>
        <w:spacing w:before="480" w:after="240" w:line="240" w:lineRule="auto"/>
        <w:jc w:val="both"/>
        <w:rPr>
          <w:rFonts w:cstheme="minorHAnsi"/>
          <w:b/>
          <w:bCs/>
          <w:color w:val="2F5496" w:themeColor="accent1" w:themeShade="BF"/>
          <w:sz w:val="26"/>
          <w:szCs w:val="26"/>
        </w:rPr>
      </w:pPr>
      <w:r w:rsidRPr="00344D4F">
        <w:rPr>
          <w:rFonts w:cstheme="minorHAnsi"/>
          <w:b/>
          <w:bCs/>
          <w:color w:val="2F5496" w:themeColor="accent1" w:themeShade="BF"/>
          <w:sz w:val="26"/>
          <w:szCs w:val="26"/>
        </w:rPr>
        <w:t>2.4</w:t>
      </w:r>
      <w:r w:rsidRPr="00344D4F">
        <w:rPr>
          <w:rFonts w:cstheme="minorHAnsi"/>
          <w:b/>
          <w:bCs/>
          <w:color w:val="2F5496" w:themeColor="accent1" w:themeShade="BF"/>
          <w:sz w:val="26"/>
          <w:szCs w:val="26"/>
        </w:rPr>
        <w:tab/>
        <w:t>Effective communication of risk – information that creates the case for action</w:t>
      </w:r>
    </w:p>
    <w:p w:rsidR="00190626" w:rsidRDefault="001E1A9A" w:rsidP="00190626">
      <w:pPr>
        <w:rPr>
          <w:rFonts w:cs="Calibri"/>
          <w:color w:val="000000" w:themeColor="text1"/>
          <w:sz w:val="24"/>
          <w:szCs w:val="24"/>
        </w:rPr>
      </w:pPr>
      <w:r>
        <w:rPr>
          <w:rFonts w:cs="Calibri"/>
          <w:color w:val="000000" w:themeColor="text1"/>
          <w:sz w:val="24"/>
          <w:szCs w:val="24"/>
        </w:rPr>
        <w:t xml:space="preserve">Papers </w:t>
      </w:r>
      <w:r w:rsidR="00190626">
        <w:rPr>
          <w:rFonts w:cs="Calibri"/>
          <w:color w:val="000000" w:themeColor="text1"/>
          <w:sz w:val="24"/>
          <w:szCs w:val="24"/>
        </w:rPr>
        <w:t xml:space="preserve">should </w:t>
      </w:r>
      <w:r w:rsidR="00F06626">
        <w:rPr>
          <w:rFonts w:cs="Calibri"/>
          <w:color w:val="000000" w:themeColor="text1"/>
          <w:sz w:val="24"/>
          <w:szCs w:val="24"/>
        </w:rPr>
        <w:t>address</w:t>
      </w:r>
      <w:r w:rsidR="00190626">
        <w:rPr>
          <w:rFonts w:cs="Calibri"/>
          <w:color w:val="000000" w:themeColor="text1"/>
          <w:sz w:val="24"/>
          <w:szCs w:val="24"/>
        </w:rPr>
        <w:t xml:space="preserve"> on</w:t>
      </w:r>
      <w:r w:rsidR="001E7791">
        <w:rPr>
          <w:rFonts w:cs="Calibri"/>
          <w:color w:val="000000" w:themeColor="text1"/>
          <w:sz w:val="24"/>
          <w:szCs w:val="24"/>
        </w:rPr>
        <w:t>e</w:t>
      </w:r>
      <w:r w:rsidR="00190626">
        <w:rPr>
          <w:rFonts w:cs="Calibri"/>
          <w:color w:val="000000" w:themeColor="text1"/>
          <w:sz w:val="24"/>
          <w:szCs w:val="24"/>
        </w:rPr>
        <w:t xml:space="preserve"> or more of the below topics:</w:t>
      </w:r>
    </w:p>
    <w:p w:rsidR="00334462" w:rsidRDefault="00AF07C9" w:rsidP="001E1A9A">
      <w:pPr>
        <w:pStyle w:val="ListParagraph"/>
        <w:numPr>
          <w:ilvl w:val="0"/>
          <w:numId w:val="34"/>
        </w:numPr>
        <w:rPr>
          <w:rFonts w:cs="Calibri"/>
          <w:color w:val="000000" w:themeColor="text1"/>
          <w:sz w:val="24"/>
          <w:szCs w:val="24"/>
        </w:rPr>
      </w:pPr>
      <w:r>
        <w:rPr>
          <w:rFonts w:cs="Calibri"/>
          <w:color w:val="000000" w:themeColor="text1"/>
          <w:sz w:val="24"/>
          <w:szCs w:val="24"/>
        </w:rPr>
        <w:t>R</w:t>
      </w:r>
      <w:r w:rsidR="007478EB">
        <w:rPr>
          <w:rFonts w:cs="Calibri"/>
          <w:color w:val="000000" w:themeColor="text1"/>
          <w:sz w:val="24"/>
          <w:szCs w:val="24"/>
        </w:rPr>
        <w:t>is</w:t>
      </w:r>
      <w:r w:rsidR="001C168A">
        <w:rPr>
          <w:rFonts w:cs="Calibri"/>
          <w:color w:val="000000" w:themeColor="text1"/>
          <w:sz w:val="24"/>
          <w:szCs w:val="24"/>
        </w:rPr>
        <w:t>k communication</w:t>
      </w:r>
      <w:r>
        <w:rPr>
          <w:rFonts w:cs="Calibri"/>
          <w:color w:val="000000" w:themeColor="text1"/>
          <w:sz w:val="24"/>
          <w:szCs w:val="24"/>
        </w:rPr>
        <w:t xml:space="preserve"> successes; impacts, corollary action, impediments, case studies</w:t>
      </w:r>
    </w:p>
    <w:p w:rsidR="007478EB" w:rsidRDefault="00AF07C9" w:rsidP="001E1A9A">
      <w:pPr>
        <w:pStyle w:val="ListParagraph"/>
        <w:numPr>
          <w:ilvl w:val="0"/>
          <w:numId w:val="34"/>
        </w:numPr>
        <w:rPr>
          <w:rFonts w:cs="Calibri"/>
          <w:color w:val="000000" w:themeColor="text1"/>
          <w:sz w:val="24"/>
          <w:szCs w:val="24"/>
        </w:rPr>
      </w:pPr>
      <w:r>
        <w:rPr>
          <w:rFonts w:cs="Calibri"/>
          <w:color w:val="000000" w:themeColor="text1"/>
          <w:sz w:val="24"/>
          <w:szCs w:val="24"/>
        </w:rPr>
        <w:t>R</w:t>
      </w:r>
      <w:r w:rsidR="001C168A">
        <w:rPr>
          <w:rFonts w:cs="Calibri"/>
          <w:color w:val="000000" w:themeColor="text1"/>
          <w:sz w:val="24"/>
          <w:szCs w:val="24"/>
        </w:rPr>
        <w:t>isk information products</w:t>
      </w:r>
      <w:r>
        <w:rPr>
          <w:rFonts w:cs="Calibri"/>
          <w:color w:val="000000" w:themeColor="text1"/>
          <w:sz w:val="24"/>
          <w:szCs w:val="24"/>
        </w:rPr>
        <w:t>, services and presentation</w:t>
      </w:r>
      <w:r w:rsidR="001C168A">
        <w:rPr>
          <w:rFonts w:cs="Calibri"/>
          <w:color w:val="000000" w:themeColor="text1"/>
          <w:sz w:val="24"/>
          <w:szCs w:val="24"/>
        </w:rPr>
        <w:t xml:space="preserve"> (scenarios, maps, graphs…)</w:t>
      </w:r>
      <w:r>
        <w:rPr>
          <w:rFonts w:cs="Calibri"/>
          <w:color w:val="000000" w:themeColor="text1"/>
          <w:sz w:val="24"/>
          <w:szCs w:val="24"/>
        </w:rPr>
        <w:t xml:space="preserve"> – what works, why and when</w:t>
      </w:r>
    </w:p>
    <w:p w:rsidR="0031745C" w:rsidRDefault="00AF07C9" w:rsidP="001E1A9A">
      <w:pPr>
        <w:pStyle w:val="ListParagraph"/>
        <w:numPr>
          <w:ilvl w:val="0"/>
          <w:numId w:val="34"/>
        </w:numPr>
        <w:rPr>
          <w:rFonts w:cs="Calibri"/>
          <w:color w:val="000000" w:themeColor="text1"/>
          <w:sz w:val="24"/>
          <w:szCs w:val="24"/>
        </w:rPr>
      </w:pPr>
      <w:r w:rsidRPr="00E95202">
        <w:rPr>
          <w:rFonts w:cs="Calibri"/>
          <w:color w:val="000000" w:themeColor="text1"/>
          <w:sz w:val="24"/>
          <w:szCs w:val="24"/>
        </w:rPr>
        <w:t xml:space="preserve">Integrating </w:t>
      </w:r>
      <w:r w:rsidR="001C168A" w:rsidRPr="00E95202">
        <w:rPr>
          <w:rFonts w:cs="Calibri"/>
          <w:color w:val="000000" w:themeColor="text1"/>
          <w:sz w:val="24"/>
          <w:szCs w:val="24"/>
        </w:rPr>
        <w:t xml:space="preserve">risk </w:t>
      </w:r>
      <w:r w:rsidRPr="00E95202">
        <w:rPr>
          <w:rFonts w:cs="Calibri"/>
          <w:color w:val="000000" w:themeColor="text1"/>
          <w:sz w:val="24"/>
          <w:szCs w:val="24"/>
        </w:rPr>
        <w:t xml:space="preserve">in </w:t>
      </w:r>
      <w:r w:rsidR="001C168A" w:rsidRPr="00E95202">
        <w:rPr>
          <w:rFonts w:cs="Calibri"/>
          <w:color w:val="000000" w:themeColor="text1"/>
          <w:sz w:val="24"/>
          <w:szCs w:val="24"/>
        </w:rPr>
        <w:t>decision-making</w:t>
      </w:r>
      <w:r w:rsidRPr="00E95202">
        <w:rPr>
          <w:rFonts w:cs="Calibri"/>
          <w:color w:val="000000" w:themeColor="text1"/>
          <w:sz w:val="24"/>
          <w:szCs w:val="24"/>
        </w:rPr>
        <w:t>, principles for risk communication</w:t>
      </w:r>
      <w:r w:rsidR="00E95202" w:rsidRPr="00E95202">
        <w:rPr>
          <w:rFonts w:cs="Calibri"/>
          <w:color w:val="000000" w:themeColor="text1"/>
          <w:sz w:val="24"/>
          <w:szCs w:val="24"/>
        </w:rPr>
        <w:t xml:space="preserve">, </w:t>
      </w:r>
      <w:r w:rsidR="00E95202">
        <w:rPr>
          <w:rFonts w:cs="Calibri"/>
          <w:color w:val="000000" w:themeColor="text1"/>
          <w:sz w:val="24"/>
          <w:szCs w:val="24"/>
        </w:rPr>
        <w:t>i</w:t>
      </w:r>
      <w:r w:rsidR="001C168A" w:rsidRPr="00E95202">
        <w:rPr>
          <w:rFonts w:cs="Calibri"/>
          <w:color w:val="000000" w:themeColor="text1"/>
          <w:sz w:val="24"/>
          <w:szCs w:val="24"/>
        </w:rPr>
        <w:t>nterdisciplinary risk communication</w:t>
      </w:r>
    </w:p>
    <w:p w:rsidR="00A7795B" w:rsidRPr="00A7795B" w:rsidRDefault="00A7795B" w:rsidP="001E1A9A">
      <w:pPr>
        <w:pStyle w:val="ListParagraph"/>
        <w:numPr>
          <w:ilvl w:val="0"/>
          <w:numId w:val="34"/>
        </w:numPr>
        <w:rPr>
          <w:rFonts w:cs="Calibri"/>
          <w:color w:val="000000" w:themeColor="text1"/>
          <w:sz w:val="24"/>
          <w:szCs w:val="24"/>
        </w:rPr>
      </w:pPr>
      <w:r>
        <w:rPr>
          <w:rFonts w:cs="Calibri"/>
          <w:color w:val="000000" w:themeColor="text1"/>
          <w:sz w:val="24"/>
          <w:szCs w:val="24"/>
        </w:rPr>
        <w:t>The relationship between the Sendai Framework, interconnected risk and sustainable finance; the transmission and application of risk information by the science, policy and investment communities</w:t>
      </w:r>
    </w:p>
    <w:p w:rsidR="0031745C" w:rsidRPr="001E1A9A" w:rsidRDefault="0031745C" w:rsidP="001E1A9A">
      <w:pPr>
        <w:pStyle w:val="Heading1"/>
        <w:spacing w:before="480" w:after="240"/>
        <w:ind w:left="1701" w:hanging="1701"/>
        <w:rPr>
          <w:rFonts w:asciiTheme="minorHAnsi" w:hAnsiTheme="minorHAnsi" w:cstheme="minorHAnsi"/>
          <w:b/>
          <w:bCs/>
          <w:sz w:val="28"/>
          <w:szCs w:val="28"/>
          <w:lang w:eastAsia="de-DE"/>
        </w:rPr>
      </w:pPr>
      <w:r w:rsidRPr="001E1A9A">
        <w:rPr>
          <w:rFonts w:asciiTheme="minorHAnsi" w:hAnsiTheme="minorHAnsi" w:cstheme="minorHAnsi"/>
          <w:b/>
          <w:bCs/>
          <w:sz w:val="28"/>
          <w:szCs w:val="28"/>
          <w:lang w:eastAsia="de-DE"/>
        </w:rPr>
        <w:t>Chapter 3</w:t>
      </w:r>
      <w:r w:rsidRPr="001E1A9A">
        <w:rPr>
          <w:rFonts w:asciiTheme="minorHAnsi" w:hAnsiTheme="minorHAnsi" w:cstheme="minorHAnsi"/>
          <w:b/>
          <w:bCs/>
          <w:sz w:val="28"/>
          <w:szCs w:val="28"/>
          <w:lang w:eastAsia="de-DE"/>
        </w:rPr>
        <w:tab/>
      </w:r>
      <w:proofErr w:type="gramStart"/>
      <w:r w:rsidRPr="001E1A9A">
        <w:rPr>
          <w:rFonts w:asciiTheme="minorHAnsi" w:hAnsiTheme="minorHAnsi" w:cstheme="minorHAnsi"/>
          <w:b/>
          <w:bCs/>
          <w:sz w:val="28"/>
          <w:szCs w:val="28"/>
          <w:lang w:eastAsia="de-DE"/>
        </w:rPr>
        <w:t>Creating</w:t>
      </w:r>
      <w:proofErr w:type="gramEnd"/>
      <w:r w:rsidRPr="001E1A9A">
        <w:rPr>
          <w:rFonts w:asciiTheme="minorHAnsi" w:hAnsiTheme="minorHAnsi" w:cstheme="minorHAnsi"/>
          <w:b/>
          <w:bCs/>
          <w:sz w:val="28"/>
          <w:szCs w:val="28"/>
          <w:lang w:eastAsia="de-DE"/>
        </w:rPr>
        <w:t xml:space="preserve"> the national and local conditions to manage risk</w:t>
      </w:r>
    </w:p>
    <w:p w:rsidR="00CD7AB8" w:rsidRPr="001E1A9A" w:rsidRDefault="0031745C">
      <w:pPr>
        <w:rPr>
          <w:sz w:val="24"/>
          <w:szCs w:val="24"/>
          <w:lang w:eastAsia="de-DE"/>
        </w:rPr>
      </w:pPr>
      <w:r w:rsidRPr="001E1A9A">
        <w:rPr>
          <w:sz w:val="24"/>
          <w:szCs w:val="24"/>
          <w:lang w:eastAsia="de-DE"/>
        </w:rPr>
        <w:t>Chapter 3 will examine the evolving policy environment since 2015 and the progress made towards substantially increasing the number of countries with national and local disaster risk reduction strategies</w:t>
      </w:r>
      <w:r w:rsidR="004B545A" w:rsidRPr="001E1A9A">
        <w:rPr>
          <w:sz w:val="24"/>
          <w:szCs w:val="24"/>
          <w:lang w:eastAsia="de-DE"/>
        </w:rPr>
        <w:t xml:space="preserve">. </w:t>
      </w:r>
      <w:proofErr w:type="gramStart"/>
      <w:r w:rsidR="004B545A" w:rsidRPr="001E1A9A">
        <w:rPr>
          <w:sz w:val="24"/>
          <w:szCs w:val="24"/>
          <w:lang w:eastAsia="de-DE"/>
        </w:rPr>
        <w:t>This being G</w:t>
      </w:r>
      <w:r w:rsidRPr="001E1A9A">
        <w:rPr>
          <w:sz w:val="24"/>
          <w:szCs w:val="24"/>
          <w:lang w:eastAsia="de-DE"/>
        </w:rPr>
        <w:t xml:space="preserve">lobal </w:t>
      </w:r>
      <w:r w:rsidR="004B545A" w:rsidRPr="001E1A9A">
        <w:rPr>
          <w:sz w:val="24"/>
          <w:szCs w:val="24"/>
          <w:lang w:eastAsia="de-DE"/>
        </w:rPr>
        <w:t>T</w:t>
      </w:r>
      <w:r w:rsidRPr="001E1A9A">
        <w:rPr>
          <w:sz w:val="24"/>
          <w:szCs w:val="24"/>
          <w:lang w:eastAsia="de-DE"/>
        </w:rPr>
        <w:t>arget</w:t>
      </w:r>
      <w:r w:rsidR="004B545A" w:rsidRPr="001E1A9A">
        <w:rPr>
          <w:sz w:val="24"/>
          <w:szCs w:val="24"/>
          <w:lang w:eastAsia="de-DE"/>
        </w:rPr>
        <w:t xml:space="preserve"> E of</w:t>
      </w:r>
      <w:r w:rsidRPr="001E1A9A">
        <w:rPr>
          <w:sz w:val="24"/>
          <w:szCs w:val="24"/>
          <w:lang w:eastAsia="de-DE"/>
        </w:rPr>
        <w:t xml:space="preserve"> the Sendai </w:t>
      </w:r>
      <w:proofErr w:type="spellStart"/>
      <w:r w:rsidRPr="001E1A9A">
        <w:rPr>
          <w:sz w:val="24"/>
          <w:szCs w:val="24"/>
          <w:lang w:eastAsia="de-DE"/>
        </w:rPr>
        <w:t>Framework</w:t>
      </w:r>
      <w:r w:rsidR="00B3046B">
        <w:rPr>
          <w:sz w:val="24"/>
          <w:szCs w:val="24"/>
          <w:vertAlign w:val="superscript"/>
          <w:lang w:eastAsia="de-DE"/>
        </w:rPr>
        <w:t>i</w:t>
      </w:r>
      <w:proofErr w:type="spellEnd"/>
      <w:r w:rsidRPr="001E1A9A">
        <w:rPr>
          <w:sz w:val="24"/>
          <w:szCs w:val="24"/>
          <w:lang w:eastAsia="de-DE"/>
        </w:rPr>
        <w:t xml:space="preserve"> </w:t>
      </w:r>
      <w:r w:rsidR="004B545A" w:rsidRPr="001E1A9A">
        <w:rPr>
          <w:sz w:val="24"/>
          <w:szCs w:val="24"/>
          <w:lang w:eastAsia="de-DE"/>
        </w:rPr>
        <w:t>the deadline for which is</w:t>
      </w:r>
      <w:r w:rsidRPr="001E1A9A">
        <w:rPr>
          <w:sz w:val="24"/>
          <w:szCs w:val="24"/>
          <w:lang w:eastAsia="de-DE"/>
        </w:rPr>
        <w:t xml:space="preserve"> 2020.</w:t>
      </w:r>
      <w:proofErr w:type="gramEnd"/>
      <w:r w:rsidRPr="001E1A9A">
        <w:rPr>
          <w:sz w:val="24"/>
          <w:szCs w:val="24"/>
          <w:lang w:eastAsia="de-DE"/>
        </w:rPr>
        <w:t xml:space="preserve">  The chapter will </w:t>
      </w:r>
      <w:r w:rsidR="00CD7AB8" w:rsidRPr="001E1A9A">
        <w:rPr>
          <w:sz w:val="24"/>
          <w:szCs w:val="24"/>
          <w:lang w:eastAsia="de-DE"/>
        </w:rPr>
        <w:t>showcase successful examples</w:t>
      </w:r>
      <w:r w:rsidRPr="001E1A9A">
        <w:rPr>
          <w:sz w:val="24"/>
          <w:szCs w:val="24"/>
          <w:lang w:eastAsia="de-DE"/>
        </w:rPr>
        <w:t xml:space="preserve"> </w:t>
      </w:r>
      <w:r w:rsidR="00CD7AB8" w:rsidRPr="001E1A9A">
        <w:rPr>
          <w:sz w:val="24"/>
          <w:szCs w:val="24"/>
          <w:lang w:eastAsia="de-DE"/>
        </w:rPr>
        <w:t xml:space="preserve">of </w:t>
      </w:r>
      <w:r w:rsidRPr="001E1A9A">
        <w:rPr>
          <w:sz w:val="24"/>
          <w:szCs w:val="24"/>
          <w:lang w:eastAsia="de-DE"/>
        </w:rPr>
        <w:t xml:space="preserve">risk informed decision-making </w:t>
      </w:r>
      <w:r w:rsidRPr="001E1A9A">
        <w:rPr>
          <w:sz w:val="24"/>
          <w:szCs w:val="24"/>
          <w:lang w:eastAsia="de-DE"/>
        </w:rPr>
        <w:lastRenderedPageBreak/>
        <w:t xml:space="preserve">at regional, national and sub-national scales, and in a variety of </w:t>
      </w:r>
      <w:r w:rsidR="00A65CE0">
        <w:rPr>
          <w:sz w:val="24"/>
          <w:szCs w:val="24"/>
          <w:lang w:eastAsia="de-DE"/>
        </w:rPr>
        <w:t>scenarios</w:t>
      </w:r>
      <w:r w:rsidR="00A65CE0" w:rsidRPr="001E1A9A">
        <w:rPr>
          <w:sz w:val="24"/>
          <w:szCs w:val="24"/>
          <w:lang w:eastAsia="de-DE"/>
        </w:rPr>
        <w:t xml:space="preserve"> </w:t>
      </w:r>
      <w:r w:rsidRPr="001E1A9A">
        <w:rPr>
          <w:sz w:val="24"/>
          <w:szCs w:val="24"/>
          <w:lang w:eastAsia="de-DE"/>
        </w:rPr>
        <w:t xml:space="preserve">– including ‘fragile </w:t>
      </w:r>
      <w:r w:rsidR="00E95202" w:rsidRPr="001E1A9A">
        <w:rPr>
          <w:sz w:val="24"/>
          <w:szCs w:val="24"/>
          <w:lang w:eastAsia="de-DE"/>
        </w:rPr>
        <w:t xml:space="preserve">contexts’ </w:t>
      </w:r>
      <w:r w:rsidRPr="001E1A9A">
        <w:rPr>
          <w:sz w:val="24"/>
          <w:szCs w:val="24"/>
          <w:lang w:eastAsia="de-DE"/>
        </w:rPr>
        <w:t xml:space="preserve">– with the view to guide and steer efforts towards </w:t>
      </w:r>
      <w:r w:rsidR="00CD7AB8" w:rsidRPr="001E1A9A">
        <w:rPr>
          <w:sz w:val="24"/>
          <w:szCs w:val="24"/>
          <w:lang w:eastAsia="de-DE"/>
        </w:rPr>
        <w:t>achieving</w:t>
      </w:r>
      <w:r w:rsidRPr="001E1A9A">
        <w:rPr>
          <w:sz w:val="24"/>
          <w:szCs w:val="24"/>
          <w:lang w:eastAsia="de-DE"/>
        </w:rPr>
        <w:t xml:space="preserve"> risk-informed sustainable development in the context of the 2030 Agenda and the Paris Agreement.</w:t>
      </w:r>
    </w:p>
    <w:p w:rsidR="00CD7AB8" w:rsidRPr="00344D4F" w:rsidRDefault="00CD7AB8">
      <w:pPr>
        <w:pStyle w:val="Heading3"/>
        <w:spacing w:before="360" w:after="240"/>
        <w:rPr>
          <w:rFonts w:asciiTheme="minorHAnsi" w:hAnsiTheme="minorHAnsi" w:cstheme="minorHAnsi"/>
          <w:color w:val="2F5496" w:themeColor="accent1" w:themeShade="BF"/>
          <w:sz w:val="26"/>
          <w:szCs w:val="26"/>
          <w:lang w:val="en-US"/>
        </w:rPr>
      </w:pPr>
      <w:r w:rsidRPr="00344D4F">
        <w:rPr>
          <w:rFonts w:asciiTheme="minorHAnsi" w:hAnsiTheme="minorHAnsi" w:cstheme="minorHAnsi"/>
          <w:color w:val="2F5496" w:themeColor="accent1" w:themeShade="BF"/>
          <w:sz w:val="26"/>
          <w:szCs w:val="26"/>
          <w:lang w:val="en-US"/>
        </w:rPr>
        <w:t>3.1</w:t>
      </w:r>
      <w:r w:rsidRPr="00344D4F">
        <w:rPr>
          <w:rFonts w:asciiTheme="minorHAnsi" w:hAnsiTheme="minorHAnsi" w:cstheme="minorHAnsi"/>
          <w:color w:val="2F5496" w:themeColor="accent1" w:themeShade="BF"/>
          <w:sz w:val="26"/>
          <w:szCs w:val="26"/>
          <w:lang w:val="en-US"/>
        </w:rPr>
        <w:tab/>
        <w:t>Stand-alone disaster risk reduction strategies and plans</w:t>
      </w:r>
    </w:p>
    <w:p w:rsidR="00CD7AB8" w:rsidRPr="008D13B3" w:rsidRDefault="001E1A9A" w:rsidP="00CD7AB8">
      <w:pPr>
        <w:rPr>
          <w:rFonts w:cs="Calibri"/>
          <w:color w:val="000000" w:themeColor="text1"/>
          <w:sz w:val="24"/>
          <w:szCs w:val="24"/>
        </w:rPr>
      </w:pPr>
      <w:r>
        <w:rPr>
          <w:rFonts w:cs="Calibri"/>
          <w:color w:val="000000" w:themeColor="text1"/>
          <w:sz w:val="24"/>
          <w:szCs w:val="24"/>
        </w:rPr>
        <w:t xml:space="preserve">Papers </w:t>
      </w:r>
      <w:r w:rsidR="00CD7AB8" w:rsidRPr="008D13B3">
        <w:rPr>
          <w:rFonts w:cs="Calibri"/>
          <w:color w:val="000000" w:themeColor="text1"/>
          <w:sz w:val="24"/>
          <w:szCs w:val="24"/>
        </w:rPr>
        <w:t xml:space="preserve">should </w:t>
      </w:r>
      <w:r w:rsidR="00F06626" w:rsidRPr="008D13B3">
        <w:rPr>
          <w:rFonts w:cs="Calibri"/>
          <w:color w:val="000000" w:themeColor="text1"/>
          <w:sz w:val="24"/>
          <w:szCs w:val="24"/>
        </w:rPr>
        <w:t>address</w:t>
      </w:r>
      <w:r w:rsidR="00CD7AB8" w:rsidRPr="008D13B3">
        <w:rPr>
          <w:rFonts w:cs="Calibri"/>
          <w:color w:val="000000" w:themeColor="text1"/>
          <w:sz w:val="24"/>
          <w:szCs w:val="24"/>
        </w:rPr>
        <w:t xml:space="preserve"> on</w:t>
      </w:r>
      <w:r w:rsidR="001E7791" w:rsidRPr="008D13B3">
        <w:rPr>
          <w:rFonts w:cs="Calibri"/>
          <w:color w:val="000000" w:themeColor="text1"/>
          <w:sz w:val="24"/>
          <w:szCs w:val="24"/>
        </w:rPr>
        <w:t>e</w:t>
      </w:r>
      <w:r w:rsidR="00CD7AB8" w:rsidRPr="008D13B3">
        <w:rPr>
          <w:rFonts w:cs="Calibri"/>
          <w:color w:val="000000" w:themeColor="text1"/>
          <w:sz w:val="24"/>
          <w:szCs w:val="24"/>
        </w:rPr>
        <w:t xml:space="preserve"> or more of the below topics:</w:t>
      </w:r>
    </w:p>
    <w:p w:rsidR="00C95D72" w:rsidRPr="008D13B3" w:rsidRDefault="00CD7AB8" w:rsidP="001E1A9A">
      <w:pPr>
        <w:pStyle w:val="ListParagraph"/>
        <w:numPr>
          <w:ilvl w:val="0"/>
          <w:numId w:val="35"/>
        </w:numPr>
        <w:autoSpaceDE w:val="0"/>
        <w:autoSpaceDN w:val="0"/>
        <w:adjustRightInd w:val="0"/>
        <w:spacing w:after="0" w:line="240" w:lineRule="auto"/>
        <w:rPr>
          <w:rFonts w:eastAsia="Times New Roman" w:cs="Calibri"/>
          <w:color w:val="000000" w:themeColor="text1"/>
          <w:sz w:val="24"/>
          <w:szCs w:val="24"/>
        </w:rPr>
      </w:pPr>
      <w:r w:rsidRPr="001E1A9A">
        <w:rPr>
          <w:sz w:val="24"/>
          <w:szCs w:val="24"/>
        </w:rPr>
        <w:t xml:space="preserve">Cases of </w:t>
      </w:r>
      <w:r w:rsidR="008D13B3">
        <w:rPr>
          <w:sz w:val="24"/>
          <w:szCs w:val="24"/>
        </w:rPr>
        <w:t>Send</w:t>
      </w:r>
      <w:r w:rsidR="008D13B3" w:rsidRPr="001E1A9A">
        <w:rPr>
          <w:sz w:val="24"/>
          <w:szCs w:val="24"/>
        </w:rPr>
        <w:t>a</w:t>
      </w:r>
      <w:r w:rsidR="008D13B3">
        <w:rPr>
          <w:sz w:val="24"/>
          <w:szCs w:val="24"/>
        </w:rPr>
        <w:t>i</w:t>
      </w:r>
      <w:r w:rsidR="008D13B3" w:rsidRPr="001E1A9A">
        <w:rPr>
          <w:sz w:val="24"/>
          <w:szCs w:val="24"/>
        </w:rPr>
        <w:t xml:space="preserve">-compliant </w:t>
      </w:r>
      <w:r w:rsidRPr="001E1A9A">
        <w:rPr>
          <w:sz w:val="24"/>
          <w:szCs w:val="24"/>
        </w:rPr>
        <w:t xml:space="preserve">national </w:t>
      </w:r>
      <w:r w:rsidR="00E95202" w:rsidRPr="001E1A9A">
        <w:rPr>
          <w:sz w:val="24"/>
          <w:szCs w:val="24"/>
        </w:rPr>
        <w:t>and/</w:t>
      </w:r>
      <w:r w:rsidRPr="001E1A9A">
        <w:rPr>
          <w:sz w:val="24"/>
          <w:szCs w:val="24"/>
        </w:rPr>
        <w:t xml:space="preserve">or local </w:t>
      </w:r>
      <w:r w:rsidR="00940459">
        <w:rPr>
          <w:sz w:val="24"/>
          <w:szCs w:val="24"/>
        </w:rPr>
        <w:t>disaster risk reduction</w:t>
      </w:r>
      <w:r w:rsidRPr="001E1A9A">
        <w:rPr>
          <w:sz w:val="24"/>
          <w:szCs w:val="24"/>
        </w:rPr>
        <w:t xml:space="preserve"> strategies </w:t>
      </w:r>
      <w:r w:rsidR="008D13B3" w:rsidRPr="001E1A9A">
        <w:rPr>
          <w:sz w:val="24"/>
          <w:szCs w:val="24"/>
        </w:rPr>
        <w:t>integrating</w:t>
      </w:r>
      <w:r w:rsidR="00E95202" w:rsidRPr="001E1A9A">
        <w:rPr>
          <w:sz w:val="24"/>
          <w:szCs w:val="24"/>
        </w:rPr>
        <w:t xml:space="preserve"> </w:t>
      </w:r>
      <w:r w:rsidRPr="001E1A9A">
        <w:rPr>
          <w:sz w:val="24"/>
          <w:szCs w:val="24"/>
        </w:rPr>
        <w:t>the ten components</w:t>
      </w:r>
      <w:r w:rsidR="00A65CE0">
        <w:rPr>
          <w:sz w:val="24"/>
          <w:szCs w:val="24"/>
        </w:rPr>
        <w:t xml:space="preserve"> agreed by Member States</w:t>
      </w:r>
      <w:r w:rsidR="00C95D72" w:rsidRPr="001E1A9A">
        <w:rPr>
          <w:rStyle w:val="EndnoteReference"/>
          <w:sz w:val="24"/>
          <w:szCs w:val="24"/>
        </w:rPr>
        <w:endnoteReference w:id="4"/>
      </w:r>
    </w:p>
    <w:p w:rsidR="00CD7AB8" w:rsidRPr="008D13B3" w:rsidRDefault="00CD7AB8" w:rsidP="001E1A9A">
      <w:pPr>
        <w:pStyle w:val="ListParagraph"/>
        <w:numPr>
          <w:ilvl w:val="0"/>
          <w:numId w:val="35"/>
        </w:numPr>
        <w:autoSpaceDE w:val="0"/>
        <w:autoSpaceDN w:val="0"/>
        <w:adjustRightInd w:val="0"/>
        <w:spacing w:after="0" w:line="240" w:lineRule="auto"/>
        <w:rPr>
          <w:rFonts w:eastAsia="Times New Roman" w:cs="Calibri"/>
          <w:color w:val="000000" w:themeColor="text1"/>
          <w:sz w:val="24"/>
          <w:szCs w:val="24"/>
        </w:rPr>
      </w:pPr>
      <w:r w:rsidRPr="008D13B3">
        <w:rPr>
          <w:rFonts w:eastAsia="Times New Roman" w:cs="Calibri"/>
          <w:color w:val="000000" w:themeColor="text1"/>
          <w:sz w:val="24"/>
          <w:szCs w:val="24"/>
        </w:rPr>
        <w:t xml:space="preserve">Conducive and hindering factors in developing stand-alone national and local </w:t>
      </w:r>
      <w:r w:rsidR="00940459">
        <w:rPr>
          <w:rFonts w:eastAsia="Times New Roman" w:cs="Calibri"/>
          <w:color w:val="000000" w:themeColor="text1"/>
          <w:sz w:val="24"/>
          <w:szCs w:val="24"/>
        </w:rPr>
        <w:t>disaster risk reduction</w:t>
      </w:r>
      <w:r w:rsidRPr="008D13B3">
        <w:rPr>
          <w:rFonts w:eastAsia="Times New Roman" w:cs="Calibri"/>
          <w:color w:val="000000" w:themeColor="text1"/>
          <w:sz w:val="24"/>
          <w:szCs w:val="24"/>
        </w:rPr>
        <w:t xml:space="preserve"> strategies and their impact</w:t>
      </w:r>
    </w:p>
    <w:p w:rsidR="00CD7AB8" w:rsidRPr="001E1A9A" w:rsidRDefault="00CD7AB8" w:rsidP="001E1A9A">
      <w:pPr>
        <w:pStyle w:val="ListParagraph"/>
        <w:numPr>
          <w:ilvl w:val="0"/>
          <w:numId w:val="35"/>
        </w:numPr>
        <w:autoSpaceDE w:val="0"/>
        <w:autoSpaceDN w:val="0"/>
        <w:adjustRightInd w:val="0"/>
        <w:spacing w:after="0" w:line="240" w:lineRule="auto"/>
        <w:rPr>
          <w:rFonts w:eastAsia="Times New Roman" w:cs="Calibri"/>
          <w:color w:val="000000" w:themeColor="text1"/>
          <w:sz w:val="24"/>
          <w:szCs w:val="24"/>
        </w:rPr>
      </w:pPr>
      <w:r w:rsidRPr="008D13B3">
        <w:rPr>
          <w:rFonts w:eastAsia="Times New Roman" w:cs="Calibri"/>
          <w:color w:val="000000" w:themeColor="text1"/>
          <w:sz w:val="24"/>
          <w:szCs w:val="24"/>
        </w:rPr>
        <w:t xml:space="preserve">Successful national and local </w:t>
      </w:r>
      <w:r w:rsidR="00940459">
        <w:rPr>
          <w:rFonts w:eastAsia="Times New Roman" w:cs="Calibri"/>
          <w:color w:val="000000" w:themeColor="text1"/>
          <w:sz w:val="24"/>
          <w:szCs w:val="24"/>
        </w:rPr>
        <w:t>disaster risk reduction</w:t>
      </w:r>
      <w:r w:rsidRPr="008D13B3">
        <w:rPr>
          <w:rFonts w:eastAsia="Times New Roman" w:cs="Calibri"/>
          <w:color w:val="000000" w:themeColor="text1"/>
          <w:sz w:val="24"/>
          <w:szCs w:val="24"/>
        </w:rPr>
        <w:t xml:space="preserve"> actions in absence of </w:t>
      </w:r>
      <w:r w:rsidR="00940459">
        <w:rPr>
          <w:rFonts w:eastAsia="Times New Roman" w:cs="Calibri"/>
          <w:color w:val="000000" w:themeColor="text1"/>
          <w:sz w:val="24"/>
          <w:szCs w:val="24"/>
        </w:rPr>
        <w:t>enabling</w:t>
      </w:r>
      <w:r w:rsidR="00940459" w:rsidRPr="008D13B3">
        <w:rPr>
          <w:rFonts w:eastAsia="Times New Roman" w:cs="Calibri"/>
          <w:color w:val="000000" w:themeColor="text1"/>
          <w:sz w:val="24"/>
          <w:szCs w:val="24"/>
        </w:rPr>
        <w:t xml:space="preserve"> </w:t>
      </w:r>
      <w:r w:rsidR="009F01B7" w:rsidRPr="008D13B3">
        <w:rPr>
          <w:rFonts w:eastAsia="Times New Roman" w:cs="Calibri"/>
          <w:color w:val="000000" w:themeColor="text1"/>
          <w:sz w:val="24"/>
          <w:szCs w:val="24"/>
        </w:rPr>
        <w:t>policies/</w:t>
      </w:r>
      <w:r w:rsidR="00940459">
        <w:rPr>
          <w:rFonts w:eastAsia="Times New Roman" w:cs="Calibri"/>
          <w:color w:val="000000" w:themeColor="text1"/>
          <w:sz w:val="24"/>
          <w:szCs w:val="24"/>
        </w:rPr>
        <w:t xml:space="preserve"> </w:t>
      </w:r>
      <w:r w:rsidR="009F01B7" w:rsidRPr="008D13B3">
        <w:rPr>
          <w:rFonts w:eastAsia="Times New Roman" w:cs="Calibri"/>
          <w:color w:val="000000" w:themeColor="text1"/>
          <w:sz w:val="24"/>
          <w:szCs w:val="24"/>
        </w:rPr>
        <w:t>governance arrangements</w:t>
      </w:r>
    </w:p>
    <w:p w:rsidR="00CD7AB8" w:rsidRPr="00344D4F" w:rsidRDefault="00CD7AB8" w:rsidP="001E1A9A">
      <w:pPr>
        <w:keepNext/>
        <w:keepLines/>
        <w:spacing w:before="360" w:after="240" w:line="276" w:lineRule="auto"/>
        <w:outlineLvl w:val="2"/>
        <w:rPr>
          <w:rFonts w:cstheme="minorHAnsi"/>
          <w:b/>
          <w:bCs/>
          <w:color w:val="2F5496" w:themeColor="accent1" w:themeShade="BF"/>
          <w:sz w:val="26"/>
          <w:szCs w:val="26"/>
        </w:rPr>
      </w:pPr>
      <w:r w:rsidRPr="00344D4F">
        <w:rPr>
          <w:rFonts w:cstheme="minorHAnsi"/>
          <w:b/>
          <w:bCs/>
          <w:color w:val="2F5496" w:themeColor="accent1" w:themeShade="BF"/>
          <w:sz w:val="26"/>
          <w:szCs w:val="26"/>
        </w:rPr>
        <w:t>3.2</w:t>
      </w:r>
      <w:r w:rsidRPr="00344D4F">
        <w:rPr>
          <w:rFonts w:cstheme="minorHAnsi"/>
          <w:b/>
          <w:bCs/>
          <w:color w:val="2F5496" w:themeColor="accent1" w:themeShade="BF"/>
          <w:sz w:val="26"/>
          <w:szCs w:val="26"/>
        </w:rPr>
        <w:tab/>
        <w:t>Disaster risk reduction integrated in development strategies and plans</w:t>
      </w:r>
    </w:p>
    <w:p w:rsidR="00CD7AB8" w:rsidRPr="00CD7AB8" w:rsidRDefault="001E1A9A" w:rsidP="00CD7AB8">
      <w:pPr>
        <w:rPr>
          <w:rFonts w:cs="Calibri"/>
          <w:color w:val="000000" w:themeColor="text1"/>
          <w:sz w:val="24"/>
          <w:szCs w:val="24"/>
        </w:rPr>
      </w:pPr>
      <w:r>
        <w:rPr>
          <w:rFonts w:cs="Calibri"/>
          <w:color w:val="000000" w:themeColor="text1"/>
          <w:sz w:val="24"/>
          <w:szCs w:val="24"/>
        </w:rPr>
        <w:t xml:space="preserve">Papers </w:t>
      </w:r>
      <w:r w:rsidR="00CD7AB8">
        <w:rPr>
          <w:rFonts w:cs="Calibri"/>
          <w:color w:val="000000" w:themeColor="text1"/>
          <w:sz w:val="24"/>
          <w:szCs w:val="24"/>
        </w:rPr>
        <w:t xml:space="preserve">should </w:t>
      </w:r>
      <w:r w:rsidR="00F06626">
        <w:rPr>
          <w:rFonts w:cs="Calibri"/>
          <w:color w:val="000000" w:themeColor="text1"/>
          <w:sz w:val="24"/>
          <w:szCs w:val="24"/>
        </w:rPr>
        <w:t>address</w:t>
      </w:r>
      <w:r w:rsidR="00CD7AB8">
        <w:rPr>
          <w:rFonts w:cs="Calibri"/>
          <w:color w:val="000000" w:themeColor="text1"/>
          <w:sz w:val="24"/>
          <w:szCs w:val="24"/>
        </w:rPr>
        <w:t xml:space="preserve"> on</w:t>
      </w:r>
      <w:r w:rsidR="001E7791">
        <w:rPr>
          <w:rFonts w:cs="Calibri"/>
          <w:color w:val="000000" w:themeColor="text1"/>
          <w:sz w:val="24"/>
          <w:szCs w:val="24"/>
        </w:rPr>
        <w:t>e</w:t>
      </w:r>
      <w:r w:rsidR="00CD7AB8">
        <w:rPr>
          <w:rFonts w:cs="Calibri"/>
          <w:color w:val="000000" w:themeColor="text1"/>
          <w:sz w:val="24"/>
          <w:szCs w:val="24"/>
        </w:rPr>
        <w:t xml:space="preserve"> or more of the below topics:</w:t>
      </w:r>
    </w:p>
    <w:p w:rsidR="00CD7AB8" w:rsidRDefault="00CD7AB8" w:rsidP="00344D4F">
      <w:pPr>
        <w:pStyle w:val="ListParagraph"/>
        <w:numPr>
          <w:ilvl w:val="0"/>
          <w:numId w:val="38"/>
        </w:numPr>
        <w:autoSpaceDE w:val="0"/>
        <w:autoSpaceDN w:val="0"/>
        <w:adjustRightInd w:val="0"/>
        <w:spacing w:after="0" w:line="240" w:lineRule="auto"/>
        <w:rPr>
          <w:rFonts w:eastAsia="Times New Roman" w:cs="Calibri"/>
          <w:color w:val="000000" w:themeColor="text1"/>
          <w:sz w:val="24"/>
          <w:szCs w:val="24"/>
        </w:rPr>
      </w:pPr>
      <w:r>
        <w:rPr>
          <w:rFonts w:eastAsia="Times New Roman" w:cs="Calibri"/>
          <w:color w:val="000000" w:themeColor="text1"/>
          <w:sz w:val="24"/>
          <w:szCs w:val="24"/>
        </w:rPr>
        <w:t xml:space="preserve">Cases of successful </w:t>
      </w:r>
      <w:r w:rsidR="00A65CE0">
        <w:rPr>
          <w:rFonts w:eastAsia="Times New Roman" w:cs="Calibri"/>
          <w:color w:val="000000" w:themeColor="text1"/>
          <w:sz w:val="24"/>
          <w:szCs w:val="24"/>
        </w:rPr>
        <w:t>risk</w:t>
      </w:r>
      <w:r w:rsidR="00AB03AF">
        <w:rPr>
          <w:rFonts w:eastAsia="Times New Roman" w:cs="Calibri"/>
          <w:color w:val="000000" w:themeColor="text1"/>
          <w:sz w:val="24"/>
          <w:szCs w:val="24"/>
        </w:rPr>
        <w:t>-</w:t>
      </w:r>
      <w:r w:rsidR="00A65CE0">
        <w:rPr>
          <w:rFonts w:eastAsia="Times New Roman" w:cs="Calibri"/>
          <w:color w:val="000000" w:themeColor="text1"/>
          <w:sz w:val="24"/>
          <w:szCs w:val="24"/>
        </w:rPr>
        <w:t xml:space="preserve">informed (Sendai-compliant) </w:t>
      </w:r>
      <w:r>
        <w:rPr>
          <w:rFonts w:eastAsia="Times New Roman" w:cs="Calibri"/>
          <w:color w:val="000000" w:themeColor="text1"/>
          <w:sz w:val="24"/>
          <w:szCs w:val="24"/>
        </w:rPr>
        <w:t xml:space="preserve">development planning at national and </w:t>
      </w:r>
      <w:r w:rsidR="00A65CE0">
        <w:rPr>
          <w:rFonts w:eastAsia="Times New Roman" w:cs="Calibri"/>
          <w:color w:val="000000" w:themeColor="text1"/>
          <w:sz w:val="24"/>
          <w:szCs w:val="24"/>
        </w:rPr>
        <w:t xml:space="preserve">sub-national </w:t>
      </w:r>
      <w:r>
        <w:rPr>
          <w:rFonts w:eastAsia="Times New Roman" w:cs="Calibri"/>
          <w:color w:val="000000" w:themeColor="text1"/>
          <w:sz w:val="24"/>
          <w:szCs w:val="24"/>
        </w:rPr>
        <w:t>level</w:t>
      </w:r>
      <w:r w:rsidR="00A65CE0">
        <w:rPr>
          <w:rFonts w:eastAsia="Times New Roman" w:cs="Calibri"/>
          <w:color w:val="000000" w:themeColor="text1"/>
          <w:sz w:val="24"/>
          <w:szCs w:val="24"/>
        </w:rPr>
        <w:t>s, multi-</w:t>
      </w:r>
      <w:proofErr w:type="spellStart"/>
      <w:r w:rsidR="00A65CE0">
        <w:rPr>
          <w:rFonts w:eastAsia="Times New Roman" w:cs="Calibri"/>
          <w:color w:val="000000" w:themeColor="text1"/>
          <w:sz w:val="24"/>
          <w:szCs w:val="24"/>
        </w:rPr>
        <w:t>sectoral</w:t>
      </w:r>
      <w:proofErr w:type="spellEnd"/>
      <w:r w:rsidR="00A65CE0">
        <w:rPr>
          <w:rFonts w:eastAsia="Times New Roman" w:cs="Calibri"/>
          <w:color w:val="000000" w:themeColor="text1"/>
          <w:sz w:val="24"/>
          <w:szCs w:val="24"/>
        </w:rPr>
        <w:t xml:space="preserve">, interdisciplinary integration of </w:t>
      </w:r>
      <w:r w:rsidR="00940459">
        <w:rPr>
          <w:rFonts w:eastAsia="Times New Roman" w:cs="Calibri"/>
          <w:color w:val="000000" w:themeColor="text1"/>
          <w:sz w:val="24"/>
          <w:szCs w:val="24"/>
        </w:rPr>
        <w:t>disaster risk reduction</w:t>
      </w:r>
    </w:p>
    <w:p w:rsidR="009F01B7" w:rsidRPr="001E1A9A" w:rsidRDefault="00CD7AB8" w:rsidP="001E1A9A">
      <w:pPr>
        <w:pStyle w:val="ListParagraph"/>
        <w:numPr>
          <w:ilvl w:val="0"/>
          <w:numId w:val="38"/>
        </w:numPr>
        <w:autoSpaceDE w:val="0"/>
        <w:autoSpaceDN w:val="0"/>
        <w:adjustRightInd w:val="0"/>
        <w:spacing w:after="0" w:line="240" w:lineRule="auto"/>
        <w:rPr>
          <w:rFonts w:eastAsia="Times New Roman" w:cs="Calibri"/>
          <w:color w:val="000000" w:themeColor="text1"/>
          <w:sz w:val="24"/>
          <w:szCs w:val="24"/>
        </w:rPr>
      </w:pPr>
      <w:r>
        <w:rPr>
          <w:rFonts w:eastAsia="Times New Roman" w:cs="Calibri"/>
          <w:color w:val="000000" w:themeColor="text1"/>
          <w:sz w:val="24"/>
          <w:szCs w:val="24"/>
        </w:rPr>
        <w:t xml:space="preserve">Research on </w:t>
      </w:r>
      <w:r w:rsidRPr="00CD7AB8">
        <w:rPr>
          <w:rFonts w:eastAsia="Times New Roman" w:cs="Calibri"/>
          <w:color w:val="000000" w:themeColor="text1"/>
          <w:sz w:val="24"/>
          <w:szCs w:val="24"/>
        </w:rPr>
        <w:t>sectors involved in the development of such strategies and conducive contextual driver</w:t>
      </w:r>
      <w:r>
        <w:rPr>
          <w:rFonts w:eastAsia="Times New Roman" w:cs="Calibri"/>
          <w:color w:val="000000" w:themeColor="text1"/>
          <w:sz w:val="24"/>
          <w:szCs w:val="24"/>
        </w:rPr>
        <w:t>s for successful implementation</w:t>
      </w:r>
      <w:r w:rsidRPr="00CD7AB8">
        <w:rPr>
          <w:rFonts w:eastAsia="Times New Roman" w:cs="Calibri"/>
          <w:color w:val="000000" w:themeColor="text1"/>
          <w:sz w:val="24"/>
          <w:szCs w:val="24"/>
        </w:rPr>
        <w:t xml:space="preserve">   </w:t>
      </w:r>
    </w:p>
    <w:p w:rsidR="009F01B7" w:rsidRPr="00344D4F" w:rsidRDefault="009F01B7" w:rsidP="009F01B7">
      <w:pPr>
        <w:keepNext/>
        <w:keepLines/>
        <w:spacing w:before="360" w:after="240"/>
        <w:jc w:val="both"/>
        <w:outlineLvl w:val="2"/>
        <w:rPr>
          <w:rFonts w:cstheme="minorHAnsi"/>
          <w:b/>
          <w:bCs/>
          <w:color w:val="2F5496" w:themeColor="accent1" w:themeShade="BF"/>
          <w:sz w:val="26"/>
          <w:szCs w:val="26"/>
        </w:rPr>
      </w:pPr>
      <w:r w:rsidRPr="00344D4F">
        <w:rPr>
          <w:rFonts w:cstheme="minorHAnsi"/>
          <w:b/>
          <w:bCs/>
          <w:color w:val="2F5496" w:themeColor="accent1" w:themeShade="BF"/>
          <w:sz w:val="26"/>
          <w:szCs w:val="26"/>
        </w:rPr>
        <w:t>3.3</w:t>
      </w:r>
      <w:r w:rsidRPr="00344D4F">
        <w:rPr>
          <w:rFonts w:cstheme="minorHAnsi"/>
          <w:b/>
          <w:bCs/>
          <w:color w:val="2F5496" w:themeColor="accent1" w:themeShade="BF"/>
          <w:sz w:val="26"/>
          <w:szCs w:val="26"/>
        </w:rPr>
        <w:tab/>
        <w:t>Disaster risk reduction integrated in climate adaptation strategies and plans</w:t>
      </w:r>
    </w:p>
    <w:p w:rsidR="009F01B7" w:rsidRPr="00CD7AB8" w:rsidRDefault="001E1A9A" w:rsidP="009F01B7">
      <w:pPr>
        <w:rPr>
          <w:rFonts w:cs="Calibri"/>
          <w:color w:val="000000" w:themeColor="text1"/>
          <w:sz w:val="24"/>
          <w:szCs w:val="24"/>
        </w:rPr>
      </w:pPr>
      <w:r>
        <w:rPr>
          <w:rFonts w:cs="Calibri"/>
          <w:color w:val="000000" w:themeColor="text1"/>
          <w:sz w:val="24"/>
          <w:szCs w:val="24"/>
        </w:rPr>
        <w:t xml:space="preserve">Papers </w:t>
      </w:r>
      <w:r w:rsidR="009F01B7">
        <w:rPr>
          <w:rFonts w:cs="Calibri"/>
          <w:color w:val="000000" w:themeColor="text1"/>
          <w:sz w:val="24"/>
          <w:szCs w:val="24"/>
        </w:rPr>
        <w:t xml:space="preserve">should </w:t>
      </w:r>
      <w:r w:rsidR="00F06626">
        <w:rPr>
          <w:rFonts w:cs="Calibri"/>
          <w:color w:val="000000" w:themeColor="text1"/>
          <w:sz w:val="24"/>
          <w:szCs w:val="24"/>
        </w:rPr>
        <w:t>address</w:t>
      </w:r>
      <w:r w:rsidR="009F01B7">
        <w:rPr>
          <w:rFonts w:cs="Calibri"/>
          <w:color w:val="000000" w:themeColor="text1"/>
          <w:sz w:val="24"/>
          <w:szCs w:val="24"/>
        </w:rPr>
        <w:t xml:space="preserve"> on</w:t>
      </w:r>
      <w:r w:rsidR="001E7791">
        <w:rPr>
          <w:rFonts w:cs="Calibri"/>
          <w:color w:val="000000" w:themeColor="text1"/>
          <w:sz w:val="24"/>
          <w:szCs w:val="24"/>
        </w:rPr>
        <w:t>e</w:t>
      </w:r>
      <w:r w:rsidR="009F01B7">
        <w:rPr>
          <w:rFonts w:cs="Calibri"/>
          <w:color w:val="000000" w:themeColor="text1"/>
          <w:sz w:val="24"/>
          <w:szCs w:val="24"/>
        </w:rPr>
        <w:t xml:space="preserve"> or more of the below topics:</w:t>
      </w:r>
    </w:p>
    <w:p w:rsidR="009F01B7" w:rsidRDefault="009F01B7" w:rsidP="001E1A9A">
      <w:pPr>
        <w:pStyle w:val="ListParagraph"/>
        <w:numPr>
          <w:ilvl w:val="0"/>
          <w:numId w:val="39"/>
        </w:numPr>
        <w:autoSpaceDE w:val="0"/>
        <w:autoSpaceDN w:val="0"/>
        <w:adjustRightInd w:val="0"/>
        <w:spacing w:after="0" w:line="240" w:lineRule="auto"/>
        <w:ind w:left="357" w:hanging="357"/>
        <w:rPr>
          <w:rFonts w:eastAsia="Times New Roman" w:cs="Calibri"/>
          <w:color w:val="000000" w:themeColor="text1"/>
          <w:sz w:val="24"/>
          <w:szCs w:val="24"/>
        </w:rPr>
      </w:pPr>
      <w:r>
        <w:rPr>
          <w:rFonts w:eastAsia="Times New Roman" w:cs="Calibri"/>
          <w:color w:val="000000" w:themeColor="text1"/>
          <w:sz w:val="24"/>
          <w:szCs w:val="24"/>
        </w:rPr>
        <w:t>C</w:t>
      </w:r>
      <w:r w:rsidRPr="009F01B7">
        <w:rPr>
          <w:rFonts w:eastAsia="Times New Roman" w:cs="Calibri"/>
          <w:color w:val="000000" w:themeColor="text1"/>
          <w:sz w:val="24"/>
          <w:szCs w:val="24"/>
        </w:rPr>
        <w:t>ases of national and local climate adaptation strategies and plans in which disaster risk reduction elements have been integrated, or vice versa</w:t>
      </w:r>
    </w:p>
    <w:p w:rsidR="009F01B7" w:rsidRPr="001E1A9A" w:rsidRDefault="009F01B7" w:rsidP="001E1A9A">
      <w:pPr>
        <w:pStyle w:val="ListParagraph"/>
        <w:numPr>
          <w:ilvl w:val="0"/>
          <w:numId w:val="39"/>
        </w:numPr>
        <w:autoSpaceDE w:val="0"/>
        <w:autoSpaceDN w:val="0"/>
        <w:adjustRightInd w:val="0"/>
        <w:spacing w:after="0" w:line="240" w:lineRule="auto"/>
        <w:ind w:left="357" w:hanging="357"/>
        <w:rPr>
          <w:rFonts w:eastAsia="Times New Roman" w:cs="Calibri"/>
          <w:color w:val="000000" w:themeColor="text1"/>
          <w:sz w:val="24"/>
          <w:szCs w:val="24"/>
        </w:rPr>
      </w:pPr>
      <w:r>
        <w:rPr>
          <w:rFonts w:eastAsia="Times New Roman" w:cs="Calibri"/>
          <w:color w:val="000000" w:themeColor="text1"/>
          <w:sz w:val="24"/>
          <w:szCs w:val="24"/>
        </w:rPr>
        <w:t xml:space="preserve">Impact and </w:t>
      </w:r>
      <w:r w:rsidR="00940459">
        <w:rPr>
          <w:rFonts w:eastAsia="Times New Roman" w:cs="Calibri"/>
          <w:color w:val="000000" w:themeColor="text1"/>
          <w:sz w:val="24"/>
          <w:szCs w:val="24"/>
        </w:rPr>
        <w:t xml:space="preserve">consequences </w:t>
      </w:r>
      <w:r>
        <w:rPr>
          <w:rFonts w:eastAsia="Times New Roman" w:cs="Calibri"/>
          <w:color w:val="000000" w:themeColor="text1"/>
          <w:sz w:val="24"/>
          <w:szCs w:val="24"/>
        </w:rPr>
        <w:t xml:space="preserve">of integrated </w:t>
      </w:r>
      <w:r w:rsidR="00940459">
        <w:rPr>
          <w:rFonts w:eastAsia="Times New Roman" w:cs="Calibri"/>
          <w:color w:val="000000" w:themeColor="text1"/>
          <w:sz w:val="24"/>
          <w:szCs w:val="24"/>
        </w:rPr>
        <w:t xml:space="preserve">disaster risk reduction </w:t>
      </w:r>
      <w:r>
        <w:rPr>
          <w:rFonts w:eastAsia="Times New Roman" w:cs="Calibri"/>
          <w:color w:val="000000" w:themeColor="text1"/>
          <w:sz w:val="24"/>
          <w:szCs w:val="24"/>
        </w:rPr>
        <w:t xml:space="preserve">and climate change adaptation strategies at national and </w:t>
      </w:r>
      <w:r w:rsidR="004D4307">
        <w:rPr>
          <w:rFonts w:eastAsia="Times New Roman" w:cs="Calibri"/>
          <w:color w:val="000000" w:themeColor="text1"/>
          <w:sz w:val="24"/>
          <w:szCs w:val="24"/>
        </w:rPr>
        <w:t xml:space="preserve">sub-national </w:t>
      </w:r>
      <w:r>
        <w:rPr>
          <w:rFonts w:eastAsia="Times New Roman" w:cs="Calibri"/>
          <w:color w:val="000000" w:themeColor="text1"/>
          <w:sz w:val="24"/>
          <w:szCs w:val="24"/>
        </w:rPr>
        <w:t>level</w:t>
      </w:r>
      <w:r w:rsidR="004D4307">
        <w:rPr>
          <w:rFonts w:eastAsia="Times New Roman" w:cs="Calibri"/>
          <w:color w:val="000000" w:themeColor="text1"/>
          <w:sz w:val="24"/>
          <w:szCs w:val="24"/>
        </w:rPr>
        <w:t>s</w:t>
      </w:r>
    </w:p>
    <w:p w:rsidR="009F01B7" w:rsidRPr="00344D4F" w:rsidRDefault="009F01B7" w:rsidP="009F01B7">
      <w:pPr>
        <w:keepNext/>
        <w:keepLines/>
        <w:spacing w:before="360" w:after="240"/>
        <w:jc w:val="both"/>
        <w:outlineLvl w:val="2"/>
        <w:rPr>
          <w:rFonts w:cstheme="minorHAnsi"/>
          <w:b/>
          <w:bCs/>
          <w:color w:val="2F5496" w:themeColor="accent1" w:themeShade="BF"/>
          <w:sz w:val="26"/>
          <w:szCs w:val="26"/>
        </w:rPr>
      </w:pPr>
      <w:r w:rsidRPr="00344D4F">
        <w:rPr>
          <w:rFonts w:cstheme="minorHAnsi"/>
          <w:b/>
          <w:bCs/>
          <w:color w:val="2F5496" w:themeColor="accent1" w:themeShade="BF"/>
          <w:sz w:val="26"/>
          <w:szCs w:val="26"/>
        </w:rPr>
        <w:t>3.4</w:t>
      </w:r>
      <w:r w:rsidRPr="00344D4F">
        <w:rPr>
          <w:rFonts w:cstheme="minorHAnsi"/>
          <w:b/>
          <w:bCs/>
          <w:color w:val="2F5496" w:themeColor="accent1" w:themeShade="BF"/>
          <w:sz w:val="26"/>
          <w:szCs w:val="26"/>
        </w:rPr>
        <w:tab/>
        <w:t>Disaster risk reduction strategies developed in fragile contexts</w:t>
      </w:r>
    </w:p>
    <w:p w:rsidR="009F01B7" w:rsidRPr="00CD7AB8" w:rsidRDefault="001E1A9A" w:rsidP="009F01B7">
      <w:pPr>
        <w:rPr>
          <w:rFonts w:cs="Calibri"/>
          <w:color w:val="000000" w:themeColor="text1"/>
          <w:sz w:val="24"/>
          <w:szCs w:val="24"/>
        </w:rPr>
      </w:pPr>
      <w:r>
        <w:rPr>
          <w:rFonts w:cs="Calibri"/>
          <w:color w:val="000000" w:themeColor="text1"/>
          <w:sz w:val="24"/>
          <w:szCs w:val="24"/>
        </w:rPr>
        <w:t xml:space="preserve">Papers </w:t>
      </w:r>
      <w:r w:rsidR="009F01B7">
        <w:rPr>
          <w:rFonts w:cs="Calibri"/>
          <w:color w:val="000000" w:themeColor="text1"/>
          <w:sz w:val="24"/>
          <w:szCs w:val="24"/>
        </w:rPr>
        <w:t xml:space="preserve">should </w:t>
      </w:r>
      <w:r w:rsidR="00F06626">
        <w:rPr>
          <w:rFonts w:cs="Calibri"/>
          <w:color w:val="000000" w:themeColor="text1"/>
          <w:sz w:val="24"/>
          <w:szCs w:val="24"/>
        </w:rPr>
        <w:t>address</w:t>
      </w:r>
      <w:r w:rsidR="009F01B7">
        <w:rPr>
          <w:rFonts w:cs="Calibri"/>
          <w:color w:val="000000" w:themeColor="text1"/>
          <w:sz w:val="24"/>
          <w:szCs w:val="24"/>
        </w:rPr>
        <w:t xml:space="preserve"> on</w:t>
      </w:r>
      <w:r w:rsidR="001E7791">
        <w:rPr>
          <w:rFonts w:cs="Calibri"/>
          <w:color w:val="000000" w:themeColor="text1"/>
          <w:sz w:val="24"/>
          <w:szCs w:val="24"/>
        </w:rPr>
        <w:t>e</w:t>
      </w:r>
      <w:r w:rsidR="009F01B7">
        <w:rPr>
          <w:rFonts w:cs="Calibri"/>
          <w:color w:val="000000" w:themeColor="text1"/>
          <w:sz w:val="24"/>
          <w:szCs w:val="24"/>
        </w:rPr>
        <w:t xml:space="preserve"> or more of the below topics:</w:t>
      </w:r>
    </w:p>
    <w:p w:rsidR="009F01B7" w:rsidRDefault="009F01B7" w:rsidP="001E1A9A">
      <w:pPr>
        <w:pStyle w:val="ListParagraph"/>
        <w:numPr>
          <w:ilvl w:val="0"/>
          <w:numId w:val="40"/>
        </w:numPr>
        <w:autoSpaceDE w:val="0"/>
        <w:autoSpaceDN w:val="0"/>
        <w:adjustRightInd w:val="0"/>
        <w:spacing w:after="0" w:line="240" w:lineRule="auto"/>
        <w:rPr>
          <w:rFonts w:eastAsia="Times New Roman" w:cs="Calibri"/>
          <w:color w:val="000000" w:themeColor="text1"/>
          <w:sz w:val="24"/>
          <w:szCs w:val="24"/>
        </w:rPr>
      </w:pPr>
      <w:r>
        <w:rPr>
          <w:rFonts w:eastAsia="Times New Roman" w:cs="Calibri"/>
          <w:color w:val="000000" w:themeColor="text1"/>
          <w:sz w:val="24"/>
          <w:szCs w:val="24"/>
        </w:rPr>
        <w:t>C</w:t>
      </w:r>
      <w:r w:rsidRPr="009F01B7">
        <w:rPr>
          <w:rFonts w:eastAsia="Times New Roman" w:cs="Calibri"/>
          <w:color w:val="000000" w:themeColor="text1"/>
          <w:sz w:val="24"/>
          <w:szCs w:val="24"/>
        </w:rPr>
        <w:t xml:space="preserve">ases of national or </w:t>
      </w:r>
      <w:r w:rsidR="00940459">
        <w:rPr>
          <w:rFonts w:eastAsia="Times New Roman" w:cs="Calibri"/>
          <w:color w:val="000000" w:themeColor="text1"/>
          <w:sz w:val="24"/>
          <w:szCs w:val="24"/>
        </w:rPr>
        <w:t>sub-national</w:t>
      </w:r>
      <w:r w:rsidR="00940459" w:rsidRPr="009F01B7">
        <w:rPr>
          <w:rFonts w:eastAsia="Times New Roman" w:cs="Calibri"/>
          <w:color w:val="000000" w:themeColor="text1"/>
          <w:sz w:val="24"/>
          <w:szCs w:val="24"/>
        </w:rPr>
        <w:t xml:space="preserve"> </w:t>
      </w:r>
      <w:r w:rsidRPr="009F01B7">
        <w:rPr>
          <w:rFonts w:eastAsia="Times New Roman" w:cs="Calibri"/>
          <w:color w:val="000000" w:themeColor="text1"/>
          <w:sz w:val="24"/>
          <w:szCs w:val="24"/>
        </w:rPr>
        <w:t>disaster risk reduction strategies or plans that have been developed and successfully implemented in fragile contexts</w:t>
      </w:r>
      <w:r w:rsidR="00940459">
        <w:rPr>
          <w:rFonts w:eastAsia="Times New Roman" w:cs="Calibri"/>
          <w:color w:val="000000" w:themeColor="text1"/>
          <w:sz w:val="24"/>
          <w:szCs w:val="24"/>
        </w:rPr>
        <w:t>, complex emergencies</w:t>
      </w:r>
    </w:p>
    <w:p w:rsidR="00F76C16" w:rsidRPr="00F76C16" w:rsidRDefault="009F01B7" w:rsidP="00F76C16">
      <w:pPr>
        <w:pStyle w:val="ListParagraph"/>
        <w:numPr>
          <w:ilvl w:val="0"/>
          <w:numId w:val="40"/>
        </w:numPr>
        <w:autoSpaceDE w:val="0"/>
        <w:autoSpaceDN w:val="0"/>
        <w:adjustRightInd w:val="0"/>
        <w:spacing w:after="0" w:line="240" w:lineRule="auto"/>
        <w:rPr>
          <w:rFonts w:eastAsia="Times New Roman" w:cs="Calibri"/>
          <w:color w:val="000000" w:themeColor="text1"/>
          <w:sz w:val="24"/>
          <w:szCs w:val="24"/>
        </w:rPr>
      </w:pPr>
      <w:r>
        <w:rPr>
          <w:rFonts w:eastAsia="Times New Roman" w:cs="Calibri"/>
          <w:color w:val="000000" w:themeColor="text1"/>
          <w:sz w:val="24"/>
          <w:szCs w:val="24"/>
        </w:rPr>
        <w:t xml:space="preserve">Research on successful integration of </w:t>
      </w:r>
      <w:r w:rsidR="00940459">
        <w:rPr>
          <w:rFonts w:eastAsia="Times New Roman" w:cs="Calibri"/>
          <w:color w:val="000000" w:themeColor="text1"/>
          <w:sz w:val="24"/>
          <w:szCs w:val="24"/>
        </w:rPr>
        <w:t>disaster risk reduction</w:t>
      </w:r>
      <w:r>
        <w:rPr>
          <w:rFonts w:eastAsia="Times New Roman" w:cs="Calibri"/>
          <w:color w:val="000000" w:themeColor="text1"/>
          <w:sz w:val="24"/>
          <w:szCs w:val="24"/>
        </w:rPr>
        <w:t xml:space="preserve"> in humanitarian action plans, transitional plans etc.</w:t>
      </w:r>
      <w:bookmarkStart w:id="1" w:name="_GoBack"/>
      <w:bookmarkEnd w:id="1"/>
    </w:p>
    <w:p w:rsidR="009F01B7" w:rsidRPr="001E1A9A" w:rsidRDefault="009F01B7" w:rsidP="001E1A9A">
      <w:pPr>
        <w:pStyle w:val="Heading1"/>
        <w:spacing w:before="360" w:after="240"/>
        <w:ind w:left="1701" w:hanging="1701"/>
        <w:rPr>
          <w:rFonts w:asciiTheme="minorHAnsi" w:hAnsiTheme="minorHAnsi" w:cstheme="minorHAnsi"/>
          <w:b/>
          <w:bCs/>
          <w:sz w:val="28"/>
          <w:szCs w:val="28"/>
          <w:lang w:eastAsia="de-DE"/>
        </w:rPr>
      </w:pPr>
      <w:r w:rsidRPr="001E1A9A">
        <w:rPr>
          <w:rFonts w:asciiTheme="minorHAnsi" w:hAnsiTheme="minorHAnsi" w:cstheme="minorHAnsi"/>
          <w:b/>
          <w:bCs/>
          <w:sz w:val="28"/>
          <w:szCs w:val="28"/>
          <w:lang w:eastAsia="de-DE"/>
        </w:rPr>
        <w:lastRenderedPageBreak/>
        <w:t>Chapter 4.0</w:t>
      </w:r>
      <w:r w:rsidRPr="001E1A9A">
        <w:rPr>
          <w:rFonts w:asciiTheme="minorHAnsi" w:hAnsiTheme="minorHAnsi" w:cstheme="minorHAnsi"/>
          <w:b/>
          <w:bCs/>
          <w:sz w:val="28"/>
          <w:szCs w:val="28"/>
          <w:lang w:eastAsia="de-DE"/>
        </w:rPr>
        <w:tab/>
        <w:t>Introducing the hazard and risk scope of the Sendai Framework</w:t>
      </w:r>
    </w:p>
    <w:p w:rsidR="009F01B7" w:rsidRPr="00006F22" w:rsidRDefault="009F01B7" w:rsidP="00344D4F">
      <w:pPr>
        <w:autoSpaceDE w:val="0"/>
        <w:autoSpaceDN w:val="0"/>
        <w:adjustRightInd w:val="0"/>
        <w:spacing w:after="0" w:line="240" w:lineRule="auto"/>
        <w:rPr>
          <w:rFonts w:eastAsia="Times New Roman" w:cs="Calibri"/>
          <w:color w:val="000000" w:themeColor="text1"/>
          <w:sz w:val="24"/>
          <w:szCs w:val="24"/>
        </w:rPr>
      </w:pPr>
      <w:r w:rsidRPr="00006F22">
        <w:rPr>
          <w:rFonts w:eastAsia="Times New Roman" w:cs="Calibri"/>
          <w:color w:val="000000" w:themeColor="text1"/>
          <w:sz w:val="24"/>
          <w:szCs w:val="24"/>
        </w:rPr>
        <w:t xml:space="preserve">Chapter 4 will </w:t>
      </w:r>
      <w:r w:rsidR="00940459" w:rsidRPr="00006F22">
        <w:rPr>
          <w:rFonts w:eastAsia="Times New Roman" w:cs="Calibri"/>
          <w:color w:val="000000" w:themeColor="text1"/>
          <w:sz w:val="24"/>
          <w:szCs w:val="24"/>
        </w:rPr>
        <w:t>introduce some of the additional hazard</w:t>
      </w:r>
      <w:r w:rsidR="00AB03AF">
        <w:rPr>
          <w:rFonts w:eastAsia="Times New Roman" w:cs="Calibri"/>
          <w:color w:val="000000" w:themeColor="text1"/>
          <w:sz w:val="24"/>
          <w:szCs w:val="24"/>
        </w:rPr>
        <w:t xml:space="preserve"> and risks </w:t>
      </w:r>
      <w:r w:rsidR="00940459" w:rsidRPr="00006F22">
        <w:rPr>
          <w:rFonts w:eastAsia="Times New Roman" w:cs="Calibri"/>
          <w:color w:val="000000" w:themeColor="text1"/>
          <w:sz w:val="24"/>
          <w:szCs w:val="24"/>
        </w:rPr>
        <w:t>presented in the Sendai Framework</w:t>
      </w:r>
      <w:r w:rsidR="00AB03AF">
        <w:rPr>
          <w:rFonts w:eastAsia="Times New Roman" w:cs="Calibri"/>
          <w:color w:val="000000" w:themeColor="text1"/>
          <w:sz w:val="24"/>
          <w:szCs w:val="24"/>
        </w:rPr>
        <w:t>, and their dynamic interactions with systemic risk</w:t>
      </w:r>
      <w:r w:rsidR="00940459" w:rsidRPr="00006F22">
        <w:rPr>
          <w:rFonts w:eastAsia="Times New Roman" w:cs="Calibri"/>
          <w:color w:val="000000" w:themeColor="text1"/>
          <w:sz w:val="24"/>
          <w:szCs w:val="24"/>
        </w:rPr>
        <w:t>.  This edition of the GAR will provide a preliminary examination of some of the</w:t>
      </w:r>
      <w:r w:rsidR="001E7791" w:rsidRPr="00006F22">
        <w:rPr>
          <w:rFonts w:eastAsia="Times New Roman" w:cs="Calibri"/>
          <w:color w:val="000000" w:themeColor="text1"/>
          <w:sz w:val="24"/>
          <w:szCs w:val="24"/>
        </w:rPr>
        <w:t xml:space="preserve"> </w:t>
      </w:r>
      <w:r w:rsidRPr="00006F22">
        <w:rPr>
          <w:rFonts w:eastAsia="Times New Roman" w:cs="Calibri"/>
          <w:color w:val="000000" w:themeColor="text1"/>
          <w:sz w:val="24"/>
          <w:szCs w:val="24"/>
        </w:rPr>
        <w:t>biological</w:t>
      </w:r>
      <w:r w:rsidR="00940459" w:rsidRPr="00006F22">
        <w:rPr>
          <w:rFonts w:eastAsia="Times New Roman" w:cs="Calibri"/>
          <w:color w:val="000000" w:themeColor="text1"/>
          <w:sz w:val="24"/>
          <w:szCs w:val="24"/>
        </w:rPr>
        <w:t>, technological</w:t>
      </w:r>
      <w:r w:rsidRPr="00006F22">
        <w:rPr>
          <w:rFonts w:eastAsia="Times New Roman" w:cs="Calibri"/>
          <w:color w:val="000000" w:themeColor="text1"/>
          <w:sz w:val="24"/>
          <w:szCs w:val="24"/>
        </w:rPr>
        <w:t xml:space="preserve"> </w:t>
      </w:r>
      <w:r w:rsidR="001E7791" w:rsidRPr="00006F22">
        <w:rPr>
          <w:rFonts w:eastAsia="Times New Roman" w:cs="Calibri"/>
          <w:color w:val="000000" w:themeColor="text1"/>
          <w:sz w:val="24"/>
          <w:szCs w:val="24"/>
        </w:rPr>
        <w:t xml:space="preserve">and environmental </w:t>
      </w:r>
      <w:r w:rsidRPr="00006F22">
        <w:rPr>
          <w:rFonts w:eastAsia="Times New Roman" w:cs="Calibri"/>
          <w:color w:val="000000" w:themeColor="text1"/>
          <w:sz w:val="24"/>
          <w:szCs w:val="24"/>
        </w:rPr>
        <w:t>hazards and risks</w:t>
      </w:r>
      <w:r w:rsidR="001E7791" w:rsidRPr="00006F22">
        <w:rPr>
          <w:rFonts w:eastAsia="Times New Roman" w:cs="Calibri"/>
          <w:color w:val="000000" w:themeColor="text1"/>
          <w:sz w:val="24"/>
          <w:szCs w:val="24"/>
        </w:rPr>
        <w:t>, alongside the</w:t>
      </w:r>
      <w:r w:rsidRPr="00006F22">
        <w:rPr>
          <w:rFonts w:eastAsia="Times New Roman" w:cs="Calibri"/>
          <w:color w:val="000000" w:themeColor="text1"/>
          <w:sz w:val="24"/>
          <w:szCs w:val="24"/>
        </w:rPr>
        <w:t xml:space="preserve"> inter-connected relationships and dependencies that exist within and across social, ecological</w:t>
      </w:r>
      <w:r w:rsidR="00AB03AF">
        <w:rPr>
          <w:rFonts w:eastAsia="Times New Roman" w:cs="Calibri"/>
          <w:color w:val="000000" w:themeColor="text1"/>
          <w:sz w:val="24"/>
          <w:szCs w:val="24"/>
        </w:rPr>
        <w:t>, political</w:t>
      </w:r>
      <w:r w:rsidRPr="00006F22">
        <w:rPr>
          <w:rFonts w:eastAsia="Times New Roman" w:cs="Calibri"/>
          <w:color w:val="000000" w:themeColor="text1"/>
          <w:sz w:val="24"/>
          <w:szCs w:val="24"/>
        </w:rPr>
        <w:t xml:space="preserve"> and economic systems and behaviors.</w:t>
      </w:r>
    </w:p>
    <w:p w:rsidR="009F01B7" w:rsidRPr="00006F22" w:rsidRDefault="009F01B7" w:rsidP="009F01B7">
      <w:pPr>
        <w:autoSpaceDE w:val="0"/>
        <w:autoSpaceDN w:val="0"/>
        <w:adjustRightInd w:val="0"/>
        <w:spacing w:after="0" w:line="240" w:lineRule="auto"/>
        <w:rPr>
          <w:rFonts w:eastAsia="Times New Roman" w:cs="Calibri"/>
          <w:color w:val="000000" w:themeColor="text1"/>
          <w:sz w:val="24"/>
          <w:szCs w:val="24"/>
        </w:rPr>
      </w:pPr>
    </w:p>
    <w:p w:rsidR="009F01B7" w:rsidRPr="00006F22" w:rsidRDefault="001E1A9A" w:rsidP="009F01B7">
      <w:pPr>
        <w:rPr>
          <w:rFonts w:cs="Calibri"/>
          <w:color w:val="000000" w:themeColor="text1"/>
          <w:sz w:val="24"/>
          <w:szCs w:val="24"/>
        </w:rPr>
      </w:pPr>
      <w:r>
        <w:rPr>
          <w:rFonts w:cs="Calibri"/>
          <w:color w:val="000000" w:themeColor="text1"/>
          <w:sz w:val="24"/>
          <w:szCs w:val="24"/>
        </w:rPr>
        <w:t xml:space="preserve">Papers </w:t>
      </w:r>
      <w:r w:rsidR="009F01B7" w:rsidRPr="00006F22">
        <w:rPr>
          <w:rFonts w:cs="Calibri"/>
          <w:color w:val="000000" w:themeColor="text1"/>
          <w:sz w:val="24"/>
          <w:szCs w:val="24"/>
        </w:rPr>
        <w:t xml:space="preserve">should </w:t>
      </w:r>
      <w:r w:rsidR="00F06626" w:rsidRPr="00006F22">
        <w:rPr>
          <w:rFonts w:cs="Calibri"/>
          <w:color w:val="000000" w:themeColor="text1"/>
          <w:sz w:val="24"/>
          <w:szCs w:val="24"/>
        </w:rPr>
        <w:t>address</w:t>
      </w:r>
      <w:r w:rsidR="009F01B7" w:rsidRPr="00006F22">
        <w:rPr>
          <w:rFonts w:cs="Calibri"/>
          <w:color w:val="000000" w:themeColor="text1"/>
          <w:sz w:val="24"/>
          <w:szCs w:val="24"/>
        </w:rPr>
        <w:t xml:space="preserve"> on</w:t>
      </w:r>
      <w:r w:rsidR="001E7791" w:rsidRPr="00006F22">
        <w:rPr>
          <w:rFonts w:cs="Calibri"/>
          <w:color w:val="000000" w:themeColor="text1"/>
          <w:sz w:val="24"/>
          <w:szCs w:val="24"/>
        </w:rPr>
        <w:t>e</w:t>
      </w:r>
      <w:r w:rsidR="009F01B7" w:rsidRPr="00006F22">
        <w:rPr>
          <w:rFonts w:cs="Calibri"/>
          <w:color w:val="000000" w:themeColor="text1"/>
          <w:sz w:val="24"/>
          <w:szCs w:val="24"/>
        </w:rPr>
        <w:t xml:space="preserve"> or more of the below topics:</w:t>
      </w:r>
    </w:p>
    <w:p w:rsidR="004F1F30" w:rsidRPr="00006F22" w:rsidRDefault="00006F22" w:rsidP="001E1A9A">
      <w:pPr>
        <w:pStyle w:val="ListParagraph"/>
        <w:numPr>
          <w:ilvl w:val="0"/>
          <w:numId w:val="42"/>
        </w:numPr>
        <w:autoSpaceDE w:val="0"/>
        <w:autoSpaceDN w:val="0"/>
        <w:adjustRightInd w:val="0"/>
        <w:spacing w:after="0" w:line="240" w:lineRule="auto"/>
        <w:ind w:left="357" w:hanging="357"/>
        <w:rPr>
          <w:rFonts w:eastAsia="Times New Roman" w:cs="Calibri"/>
          <w:color w:val="000000" w:themeColor="text1"/>
          <w:sz w:val="24"/>
          <w:szCs w:val="24"/>
        </w:rPr>
      </w:pPr>
      <w:r w:rsidRPr="00006F22">
        <w:rPr>
          <w:rFonts w:eastAsia="Times New Roman" w:cs="Calibri"/>
          <w:color w:val="000000" w:themeColor="text1"/>
          <w:sz w:val="24"/>
          <w:szCs w:val="24"/>
        </w:rPr>
        <w:t>Risk assessment, analysis of s</w:t>
      </w:r>
      <w:r w:rsidR="009F01B7" w:rsidRPr="00006F22">
        <w:rPr>
          <w:rFonts w:eastAsia="Times New Roman" w:cs="Calibri"/>
          <w:color w:val="000000" w:themeColor="text1"/>
          <w:sz w:val="24"/>
          <w:szCs w:val="24"/>
        </w:rPr>
        <w:t xml:space="preserve">ocial, environmental and economic impacts </w:t>
      </w:r>
      <w:r w:rsidRPr="00006F22">
        <w:rPr>
          <w:rFonts w:eastAsia="Times New Roman" w:cs="Calibri"/>
          <w:color w:val="000000" w:themeColor="text1"/>
          <w:sz w:val="24"/>
          <w:szCs w:val="24"/>
        </w:rPr>
        <w:t xml:space="preserve">of, </w:t>
      </w:r>
      <w:r w:rsidR="007B71A3">
        <w:rPr>
          <w:rFonts w:eastAsia="Times New Roman" w:cs="Calibri"/>
          <w:color w:val="000000" w:themeColor="text1"/>
          <w:sz w:val="24"/>
          <w:szCs w:val="24"/>
        </w:rPr>
        <w:t xml:space="preserve">governance </w:t>
      </w:r>
      <w:r w:rsidRPr="00006F22">
        <w:rPr>
          <w:rFonts w:eastAsia="Times New Roman" w:cs="Calibri"/>
          <w:color w:val="000000" w:themeColor="text1"/>
          <w:sz w:val="24"/>
          <w:szCs w:val="24"/>
        </w:rPr>
        <w:t>and risk management approaches to</w:t>
      </w:r>
      <w:r w:rsidR="009F01B7" w:rsidRPr="00006F22">
        <w:rPr>
          <w:rFonts w:eastAsia="Times New Roman" w:cs="Calibri"/>
          <w:color w:val="000000" w:themeColor="text1"/>
          <w:sz w:val="24"/>
          <w:szCs w:val="24"/>
        </w:rPr>
        <w:t>:</w:t>
      </w:r>
    </w:p>
    <w:p w:rsidR="00940459" w:rsidRPr="00006F22" w:rsidRDefault="00940459" w:rsidP="001E1A9A">
      <w:pPr>
        <w:pStyle w:val="ListParagraph"/>
        <w:numPr>
          <w:ilvl w:val="2"/>
          <w:numId w:val="42"/>
        </w:numPr>
        <w:autoSpaceDE w:val="0"/>
        <w:autoSpaceDN w:val="0"/>
        <w:adjustRightInd w:val="0"/>
        <w:spacing w:after="0" w:line="240" w:lineRule="auto"/>
        <w:rPr>
          <w:rFonts w:eastAsia="Times New Roman" w:cs="Calibri"/>
          <w:color w:val="000000" w:themeColor="text1"/>
          <w:sz w:val="24"/>
          <w:szCs w:val="24"/>
        </w:rPr>
      </w:pPr>
      <w:r w:rsidRPr="00006F22">
        <w:rPr>
          <w:rFonts w:cs="Calibri"/>
          <w:color w:val="000000" w:themeColor="text1"/>
          <w:sz w:val="24"/>
          <w:szCs w:val="24"/>
        </w:rPr>
        <w:t>Biological hazards</w:t>
      </w:r>
      <w:r w:rsidR="00712AA9">
        <w:rPr>
          <w:rFonts w:cs="Calibri"/>
          <w:color w:val="000000" w:themeColor="text1"/>
          <w:sz w:val="24"/>
          <w:szCs w:val="24"/>
        </w:rPr>
        <w:t xml:space="preserve"> and risks</w:t>
      </w:r>
      <w:r w:rsidR="00712AA9" w:rsidRPr="006D4E4A">
        <w:rPr>
          <w:rStyle w:val="EndnoteReference"/>
          <w:rFonts w:cstheme="minorHAnsi"/>
          <w:color w:val="000000"/>
          <w:sz w:val="24"/>
          <w:szCs w:val="24"/>
        </w:rPr>
        <w:endnoteReference w:id="5"/>
      </w:r>
    </w:p>
    <w:p w:rsidR="004F1F30" w:rsidRPr="00006F22" w:rsidRDefault="004F1F30" w:rsidP="001E1A9A">
      <w:pPr>
        <w:pStyle w:val="ListParagraph"/>
        <w:numPr>
          <w:ilvl w:val="2"/>
          <w:numId w:val="42"/>
        </w:numPr>
        <w:autoSpaceDE w:val="0"/>
        <w:autoSpaceDN w:val="0"/>
        <w:adjustRightInd w:val="0"/>
        <w:spacing w:after="0" w:line="240" w:lineRule="auto"/>
        <w:rPr>
          <w:rFonts w:eastAsia="Times New Roman" w:cs="Calibri"/>
          <w:color w:val="000000" w:themeColor="text1"/>
          <w:sz w:val="24"/>
          <w:szCs w:val="24"/>
        </w:rPr>
      </w:pPr>
      <w:r w:rsidRPr="00006F22">
        <w:rPr>
          <w:rFonts w:cs="Calibri"/>
          <w:color w:val="000000" w:themeColor="text1"/>
          <w:sz w:val="24"/>
          <w:szCs w:val="24"/>
        </w:rPr>
        <w:t>Technological hazards</w:t>
      </w:r>
      <w:r w:rsidR="00712AA9">
        <w:rPr>
          <w:rFonts w:cs="Calibri"/>
          <w:color w:val="000000" w:themeColor="text1"/>
          <w:sz w:val="24"/>
          <w:szCs w:val="24"/>
        </w:rPr>
        <w:t xml:space="preserve"> and risks</w:t>
      </w:r>
      <w:r w:rsidR="00712AA9" w:rsidRPr="006D4E4A">
        <w:rPr>
          <w:rStyle w:val="EndnoteReference"/>
          <w:rFonts w:cstheme="minorHAnsi"/>
          <w:color w:val="000000"/>
          <w:sz w:val="24"/>
          <w:szCs w:val="24"/>
        </w:rPr>
        <w:endnoteReference w:id="6"/>
      </w:r>
    </w:p>
    <w:p w:rsidR="004F1F30" w:rsidRPr="001E1A9A" w:rsidRDefault="00C95D72" w:rsidP="001E1A9A">
      <w:pPr>
        <w:pStyle w:val="ListParagraph"/>
        <w:numPr>
          <w:ilvl w:val="2"/>
          <w:numId w:val="42"/>
        </w:numPr>
        <w:autoSpaceDE w:val="0"/>
        <w:autoSpaceDN w:val="0"/>
        <w:adjustRightInd w:val="0"/>
        <w:spacing w:after="0" w:line="240" w:lineRule="auto"/>
        <w:rPr>
          <w:rFonts w:eastAsia="Times New Roman" w:cs="Calibri"/>
          <w:color w:val="000000" w:themeColor="text1"/>
          <w:sz w:val="24"/>
          <w:szCs w:val="24"/>
        </w:rPr>
      </w:pPr>
      <w:r w:rsidRPr="00006F22">
        <w:rPr>
          <w:rFonts w:cs="Calibri"/>
          <w:color w:val="000000" w:themeColor="text1"/>
          <w:sz w:val="24"/>
          <w:szCs w:val="24"/>
        </w:rPr>
        <w:t>Environmental</w:t>
      </w:r>
      <w:r w:rsidR="004F1F30" w:rsidRPr="00006F22">
        <w:rPr>
          <w:rFonts w:cs="Calibri"/>
          <w:color w:val="000000" w:themeColor="text1"/>
          <w:sz w:val="24"/>
          <w:szCs w:val="24"/>
        </w:rPr>
        <w:t xml:space="preserve"> hazards</w:t>
      </w:r>
      <w:r w:rsidR="00712AA9">
        <w:rPr>
          <w:rFonts w:cs="Calibri"/>
          <w:color w:val="000000" w:themeColor="text1"/>
          <w:sz w:val="24"/>
          <w:szCs w:val="24"/>
        </w:rPr>
        <w:t xml:space="preserve"> and risks</w:t>
      </w:r>
      <w:r w:rsidR="00712AA9" w:rsidRPr="006D4E4A">
        <w:rPr>
          <w:rStyle w:val="EndnoteReference"/>
          <w:rFonts w:cstheme="minorHAnsi"/>
          <w:color w:val="000000"/>
          <w:sz w:val="24"/>
          <w:szCs w:val="24"/>
        </w:rPr>
        <w:endnoteReference w:id="7"/>
      </w:r>
    </w:p>
    <w:p w:rsidR="00006F22" w:rsidRPr="00006F22" w:rsidRDefault="00006F22" w:rsidP="001E1A9A">
      <w:pPr>
        <w:pStyle w:val="ListParagraph"/>
        <w:autoSpaceDE w:val="0"/>
        <w:autoSpaceDN w:val="0"/>
        <w:adjustRightInd w:val="0"/>
        <w:spacing w:after="0" w:line="240" w:lineRule="auto"/>
        <w:ind w:left="2160"/>
        <w:rPr>
          <w:rFonts w:eastAsia="Times New Roman" w:cs="Calibri"/>
          <w:color w:val="000000" w:themeColor="text1"/>
          <w:sz w:val="24"/>
          <w:szCs w:val="24"/>
        </w:rPr>
      </w:pPr>
    </w:p>
    <w:p w:rsidR="00006F22" w:rsidRPr="00344D4F" w:rsidRDefault="00720547" w:rsidP="001E1A9A">
      <w:pPr>
        <w:pStyle w:val="ListParagraph"/>
        <w:numPr>
          <w:ilvl w:val="0"/>
          <w:numId w:val="42"/>
        </w:numPr>
        <w:autoSpaceDE w:val="0"/>
        <w:autoSpaceDN w:val="0"/>
        <w:adjustRightInd w:val="0"/>
        <w:spacing w:after="0" w:line="240" w:lineRule="auto"/>
        <w:ind w:left="357" w:hanging="357"/>
        <w:rPr>
          <w:rFonts w:cs="Calibri"/>
          <w:color w:val="000000" w:themeColor="text1"/>
          <w:sz w:val="24"/>
          <w:szCs w:val="24"/>
        </w:rPr>
      </w:pPr>
      <w:r w:rsidRPr="00344D4F">
        <w:rPr>
          <w:rFonts w:cs="Calibri"/>
          <w:color w:val="000000" w:themeColor="text1"/>
          <w:sz w:val="24"/>
          <w:szCs w:val="24"/>
        </w:rPr>
        <w:t>Research on multi-dimensional, cascading risk phenomena and dependencies that exist within social, ecological and economic systems and behaviors</w:t>
      </w:r>
      <w:r w:rsidR="00006F22" w:rsidRPr="00344D4F">
        <w:rPr>
          <w:rFonts w:cs="Calibri"/>
          <w:color w:val="000000" w:themeColor="text1"/>
          <w:sz w:val="24"/>
          <w:szCs w:val="24"/>
        </w:rPr>
        <w:t>.</w:t>
      </w:r>
    </w:p>
    <w:p w:rsidR="00006F22" w:rsidRPr="00344D4F" w:rsidRDefault="00006F22" w:rsidP="001E1A9A">
      <w:pPr>
        <w:pStyle w:val="ListParagraph"/>
        <w:numPr>
          <w:ilvl w:val="0"/>
          <w:numId w:val="42"/>
        </w:numPr>
        <w:autoSpaceDE w:val="0"/>
        <w:autoSpaceDN w:val="0"/>
        <w:adjustRightInd w:val="0"/>
        <w:spacing w:after="0" w:line="240" w:lineRule="auto"/>
        <w:ind w:left="357" w:hanging="357"/>
        <w:rPr>
          <w:rFonts w:cs="Calibri"/>
          <w:color w:val="000000" w:themeColor="text1"/>
          <w:sz w:val="24"/>
          <w:szCs w:val="24"/>
        </w:rPr>
      </w:pPr>
      <w:r w:rsidRPr="00344D4F">
        <w:rPr>
          <w:rFonts w:cs="Calibri"/>
          <w:color w:val="000000" w:themeColor="text1"/>
          <w:sz w:val="24"/>
          <w:szCs w:val="24"/>
        </w:rPr>
        <w:t>I</w:t>
      </w:r>
      <w:r w:rsidRPr="00344D4F">
        <w:rPr>
          <w:sz w:val="24"/>
          <w:szCs w:val="24"/>
        </w:rPr>
        <w:t xml:space="preserve">nvestigation of the systemic risks that are embedded within the complex networks of an interconnected world, and which shape the dynamic interactions with the Sendai Framework, the 2030 Agenda, the Paris Agreement and the New Urban Agenda, contributing to the determination of exposure and vulnerability at all scales.  </w:t>
      </w:r>
    </w:p>
    <w:p w:rsidR="007B71A3" w:rsidRPr="00344D4F" w:rsidRDefault="00006F22" w:rsidP="007B71A3">
      <w:pPr>
        <w:pStyle w:val="ListParagraph"/>
        <w:numPr>
          <w:ilvl w:val="0"/>
          <w:numId w:val="42"/>
        </w:numPr>
        <w:autoSpaceDE w:val="0"/>
        <w:autoSpaceDN w:val="0"/>
        <w:adjustRightInd w:val="0"/>
        <w:spacing w:after="0" w:line="240" w:lineRule="auto"/>
        <w:ind w:left="357" w:hanging="357"/>
        <w:rPr>
          <w:rFonts w:cs="Calibri"/>
          <w:color w:val="000000" w:themeColor="text1"/>
          <w:sz w:val="24"/>
          <w:szCs w:val="24"/>
        </w:rPr>
      </w:pPr>
      <w:r w:rsidRPr="00344D4F">
        <w:rPr>
          <w:sz w:val="24"/>
          <w:szCs w:val="24"/>
        </w:rPr>
        <w:t xml:space="preserve">Understanding the nature of disasters / shocks and ensuing systems reverberations, feedback loops, and examining sensitivities to change. </w:t>
      </w:r>
    </w:p>
    <w:p w:rsidR="00006F22" w:rsidRPr="00344D4F" w:rsidRDefault="007B71A3" w:rsidP="007B71A3">
      <w:pPr>
        <w:pStyle w:val="ListParagraph"/>
        <w:numPr>
          <w:ilvl w:val="0"/>
          <w:numId w:val="42"/>
        </w:numPr>
        <w:autoSpaceDE w:val="0"/>
        <w:autoSpaceDN w:val="0"/>
        <w:adjustRightInd w:val="0"/>
        <w:spacing w:after="0" w:line="240" w:lineRule="auto"/>
        <w:ind w:left="357" w:hanging="357"/>
        <w:rPr>
          <w:rFonts w:cs="Calibri"/>
          <w:color w:val="000000" w:themeColor="text1"/>
          <w:sz w:val="24"/>
          <w:szCs w:val="24"/>
        </w:rPr>
      </w:pPr>
      <w:r w:rsidRPr="00344D4F">
        <w:rPr>
          <w:rFonts w:asciiTheme="minorHAnsi" w:hAnsiTheme="minorHAnsi"/>
          <w:sz w:val="24"/>
          <w:szCs w:val="24"/>
        </w:rPr>
        <w:t>Comparative analytics contrasting disaster risk governance approaches established to manage disaster risk related to natural hazards, with those addressing man-made hazards.</w:t>
      </w:r>
    </w:p>
    <w:p w:rsidR="0087258A" w:rsidRPr="00C95D72" w:rsidRDefault="00F943BE" w:rsidP="001E1A9A">
      <w:pPr>
        <w:pStyle w:val="Heading2"/>
        <w:spacing w:before="360" w:after="240"/>
        <w:rPr>
          <w:lang w:eastAsia="de-DE"/>
        </w:rPr>
      </w:pPr>
      <w:r w:rsidRPr="00C95D72">
        <w:rPr>
          <w:lang w:eastAsia="de-DE"/>
        </w:rPr>
        <w:t>Timelines</w:t>
      </w:r>
      <w:r w:rsidR="001E7791">
        <w:rPr>
          <w:lang w:eastAsia="de-DE"/>
        </w:rPr>
        <w:t>/R</w:t>
      </w:r>
      <w:r w:rsidR="00927657" w:rsidRPr="00C95D72">
        <w:rPr>
          <w:lang w:eastAsia="de-DE"/>
        </w:rPr>
        <w:t xml:space="preserve">equirements </w:t>
      </w:r>
    </w:p>
    <w:p w:rsidR="00373748" w:rsidRPr="00373748" w:rsidRDefault="00373748" w:rsidP="00373748">
      <w:pPr>
        <w:pStyle w:val="ListParagraph"/>
        <w:numPr>
          <w:ilvl w:val="0"/>
          <w:numId w:val="43"/>
        </w:numPr>
        <w:jc w:val="both"/>
        <w:rPr>
          <w:rFonts w:eastAsia="Times New Roman" w:cs="Calibri"/>
          <w:color w:val="000000" w:themeColor="text1"/>
          <w:sz w:val="24"/>
          <w:szCs w:val="24"/>
        </w:rPr>
      </w:pPr>
      <w:r w:rsidRPr="004D0C10">
        <w:rPr>
          <w:rFonts w:eastAsia="Times New Roman" w:cs="Calibri"/>
          <w:color w:val="000000" w:themeColor="text1"/>
          <w:sz w:val="24"/>
          <w:szCs w:val="24"/>
        </w:rPr>
        <w:t>Deadline for submission of abstract</w:t>
      </w:r>
      <w:r>
        <w:rPr>
          <w:rFonts w:eastAsia="Times New Roman" w:cs="Calibri"/>
          <w:color w:val="000000" w:themeColor="text1"/>
          <w:sz w:val="24"/>
          <w:szCs w:val="24"/>
        </w:rPr>
        <w:t xml:space="preserve">s for GAR19 papers is the </w:t>
      </w:r>
      <w:r w:rsidRPr="00F76C16">
        <w:rPr>
          <w:rFonts w:eastAsia="Times New Roman" w:cs="Calibri"/>
          <w:b/>
          <w:bCs/>
          <w:color w:val="000000" w:themeColor="text1"/>
          <w:sz w:val="24"/>
          <w:szCs w:val="24"/>
        </w:rPr>
        <w:t>3 June 2018</w:t>
      </w:r>
      <w:r w:rsidRPr="004D0C10">
        <w:rPr>
          <w:rFonts w:eastAsia="Times New Roman" w:cs="Calibri"/>
          <w:color w:val="000000" w:themeColor="text1"/>
          <w:sz w:val="24"/>
          <w:szCs w:val="24"/>
        </w:rPr>
        <w:t>.</w:t>
      </w:r>
    </w:p>
    <w:p w:rsidR="00373748" w:rsidRPr="004D0C10" w:rsidRDefault="00373748" w:rsidP="00373748">
      <w:pPr>
        <w:pStyle w:val="ListParagraph"/>
        <w:numPr>
          <w:ilvl w:val="0"/>
          <w:numId w:val="43"/>
        </w:numPr>
        <w:jc w:val="both"/>
        <w:rPr>
          <w:rFonts w:eastAsia="Times New Roman" w:cs="Calibri"/>
          <w:color w:val="000000" w:themeColor="text1"/>
          <w:sz w:val="24"/>
          <w:szCs w:val="24"/>
        </w:rPr>
      </w:pPr>
      <w:r w:rsidRPr="004D0C10">
        <w:rPr>
          <w:rFonts w:eastAsia="Times New Roman" w:cs="Calibri"/>
          <w:color w:val="000000" w:themeColor="text1"/>
          <w:sz w:val="24"/>
          <w:szCs w:val="24"/>
        </w:rPr>
        <w:t>Abstracts must be 300 words or less.</w:t>
      </w:r>
    </w:p>
    <w:p w:rsidR="00373748" w:rsidRPr="004D0C10" w:rsidRDefault="00373748" w:rsidP="00373748">
      <w:pPr>
        <w:pStyle w:val="ListParagraph"/>
        <w:numPr>
          <w:ilvl w:val="0"/>
          <w:numId w:val="43"/>
        </w:numPr>
        <w:jc w:val="both"/>
        <w:rPr>
          <w:rFonts w:eastAsia="Times New Roman" w:cs="Calibri"/>
          <w:color w:val="000000" w:themeColor="text1"/>
          <w:sz w:val="24"/>
          <w:szCs w:val="24"/>
        </w:rPr>
      </w:pPr>
      <w:r w:rsidRPr="004D0C10">
        <w:rPr>
          <w:rFonts w:eastAsia="Times New Roman" w:cs="Calibri"/>
          <w:color w:val="000000" w:themeColor="text1"/>
          <w:sz w:val="24"/>
          <w:szCs w:val="24"/>
        </w:rPr>
        <w:t>Abstracts must be submitted in English to katsanakis@un.org and chiara.menchise-intern@un.org using the submission template available via https://www.preventionweb.net/news/view/58255</w:t>
      </w:r>
    </w:p>
    <w:p w:rsidR="00373748" w:rsidRPr="004D0C10" w:rsidRDefault="00373748" w:rsidP="00373748">
      <w:pPr>
        <w:pStyle w:val="ListParagraph"/>
        <w:numPr>
          <w:ilvl w:val="0"/>
          <w:numId w:val="43"/>
        </w:numPr>
        <w:jc w:val="both"/>
        <w:rPr>
          <w:rFonts w:eastAsia="Times New Roman" w:cs="Calibri"/>
          <w:color w:val="000000" w:themeColor="text1"/>
          <w:sz w:val="24"/>
          <w:szCs w:val="24"/>
        </w:rPr>
      </w:pPr>
      <w:r w:rsidRPr="004D0C10">
        <w:rPr>
          <w:rFonts w:eastAsia="Times New Roman" w:cs="Calibri"/>
          <w:color w:val="000000" w:themeColor="text1"/>
          <w:sz w:val="24"/>
          <w:szCs w:val="24"/>
        </w:rPr>
        <w:t>Authors are encouraged to read the GAR19 concept note in preparation of their abstract, which is available via https://www.preventionweb.net/news/view/58255</w:t>
      </w:r>
    </w:p>
    <w:p w:rsidR="00373748" w:rsidRPr="004D0C10" w:rsidRDefault="00373748" w:rsidP="00373748">
      <w:pPr>
        <w:pStyle w:val="ListParagraph"/>
        <w:numPr>
          <w:ilvl w:val="0"/>
          <w:numId w:val="43"/>
        </w:numPr>
        <w:jc w:val="both"/>
        <w:rPr>
          <w:rFonts w:eastAsia="Times New Roman" w:cs="Calibri"/>
          <w:color w:val="000000" w:themeColor="text1"/>
          <w:sz w:val="24"/>
          <w:szCs w:val="24"/>
        </w:rPr>
      </w:pPr>
      <w:r w:rsidRPr="004D0C10">
        <w:rPr>
          <w:rFonts w:eastAsia="Times New Roman" w:cs="Calibri"/>
          <w:color w:val="000000" w:themeColor="text1"/>
          <w:sz w:val="24"/>
          <w:szCs w:val="24"/>
        </w:rPr>
        <w:t>Selection will be conducted by UNISDR, whereupon successful authors will be notified by 15 June, 2018 to develop full GAR19 papers for submission by 15 August, 2018.</w:t>
      </w:r>
    </w:p>
    <w:p w:rsidR="00373748" w:rsidRDefault="00373748" w:rsidP="00373748">
      <w:pPr>
        <w:pStyle w:val="ListParagraph"/>
        <w:numPr>
          <w:ilvl w:val="0"/>
          <w:numId w:val="43"/>
        </w:numPr>
        <w:jc w:val="both"/>
      </w:pPr>
      <w:r w:rsidRPr="00F149A2">
        <w:rPr>
          <w:rFonts w:cs="Calibri"/>
          <w:bCs/>
          <w:sz w:val="24"/>
          <w:szCs w:val="24"/>
        </w:rPr>
        <w:t xml:space="preserve">All </w:t>
      </w:r>
      <w:r>
        <w:rPr>
          <w:rFonts w:cs="Calibri"/>
          <w:bCs/>
          <w:sz w:val="24"/>
          <w:szCs w:val="24"/>
        </w:rPr>
        <w:t>papers having successfully passed peer-review</w:t>
      </w:r>
      <w:r w:rsidRPr="00F149A2">
        <w:rPr>
          <w:rFonts w:cs="Calibri"/>
          <w:bCs/>
          <w:sz w:val="24"/>
          <w:szCs w:val="24"/>
        </w:rPr>
        <w:t xml:space="preserve"> will be made available online as an annex to GAR19</w:t>
      </w:r>
      <w:r>
        <w:rPr>
          <w:rFonts w:cs="Calibri"/>
          <w:bCs/>
          <w:sz w:val="24"/>
          <w:szCs w:val="24"/>
        </w:rPr>
        <w:t xml:space="preserve"> by May 2019</w:t>
      </w:r>
      <w:r w:rsidRPr="00F149A2">
        <w:rPr>
          <w:rFonts w:cs="Calibri"/>
          <w:bCs/>
          <w:sz w:val="24"/>
          <w:szCs w:val="24"/>
        </w:rPr>
        <w:t>.</w:t>
      </w:r>
    </w:p>
    <w:p w:rsidR="000B4B4D" w:rsidRPr="001E1A9A" w:rsidRDefault="00E15B89" w:rsidP="001E1A9A">
      <w:pPr>
        <w:tabs>
          <w:tab w:val="num" w:pos="567"/>
        </w:tabs>
        <w:spacing w:before="360" w:after="0" w:line="240" w:lineRule="auto"/>
        <w:jc w:val="center"/>
        <w:rPr>
          <w:rFonts w:eastAsia="SimSun" w:cstheme="minorHAnsi"/>
          <w:b/>
          <w:bCs/>
          <w:color w:val="4F81BD"/>
          <w:sz w:val="24"/>
          <w:szCs w:val="24"/>
          <w:lang w:eastAsia="de-DE"/>
        </w:rPr>
      </w:pPr>
      <w:r w:rsidRPr="001E1A9A">
        <w:rPr>
          <w:rFonts w:eastAsia="SimSun" w:cstheme="minorHAnsi"/>
          <w:b/>
          <w:bCs/>
          <w:color w:val="4F81BD"/>
          <w:sz w:val="24"/>
          <w:szCs w:val="24"/>
          <w:lang w:eastAsia="de-DE"/>
        </w:rPr>
        <w:lastRenderedPageBreak/>
        <w:t xml:space="preserve">For more information, contact: Rhea </w:t>
      </w:r>
      <w:proofErr w:type="spellStart"/>
      <w:r w:rsidRPr="001E1A9A">
        <w:rPr>
          <w:rFonts w:eastAsia="SimSun" w:cstheme="minorHAnsi"/>
          <w:b/>
          <w:bCs/>
          <w:color w:val="4F81BD"/>
          <w:sz w:val="24"/>
          <w:szCs w:val="24"/>
          <w:lang w:eastAsia="de-DE"/>
        </w:rPr>
        <w:t>Katsanakis</w:t>
      </w:r>
      <w:proofErr w:type="spellEnd"/>
      <w:r w:rsidRPr="001E1A9A">
        <w:rPr>
          <w:rFonts w:eastAsia="SimSun" w:cstheme="minorHAnsi"/>
          <w:b/>
          <w:bCs/>
          <w:color w:val="4F81BD"/>
          <w:sz w:val="24"/>
          <w:szCs w:val="24"/>
          <w:lang w:eastAsia="de-DE"/>
        </w:rPr>
        <w:t xml:space="preserve"> at </w:t>
      </w:r>
      <w:hyperlink r:id="rId8" w:history="1">
        <w:r w:rsidRPr="001E1A9A">
          <w:rPr>
            <w:rFonts w:eastAsia="SimSun" w:cstheme="minorHAnsi"/>
            <w:b/>
            <w:bCs/>
            <w:color w:val="4F81BD"/>
            <w:sz w:val="24"/>
            <w:szCs w:val="24"/>
            <w:lang w:eastAsia="de-DE"/>
          </w:rPr>
          <w:t>katsanakis@un.org</w:t>
        </w:r>
      </w:hyperlink>
      <w:r w:rsidR="006B51BA">
        <w:rPr>
          <w:rFonts w:eastAsia="SimSun" w:cstheme="minorHAnsi"/>
          <w:b/>
          <w:bCs/>
          <w:color w:val="4F81BD"/>
          <w:sz w:val="24"/>
          <w:szCs w:val="24"/>
          <w:lang w:eastAsia="de-DE"/>
        </w:rPr>
        <w:t xml:space="preserve"> </w:t>
      </w:r>
      <w:r w:rsidRPr="001E1A9A">
        <w:rPr>
          <w:rFonts w:eastAsia="SimSun" w:cstheme="minorHAnsi"/>
          <w:b/>
          <w:bCs/>
          <w:color w:val="4F81BD"/>
          <w:sz w:val="24"/>
          <w:szCs w:val="24"/>
          <w:lang w:eastAsia="de-DE"/>
        </w:rPr>
        <w:t xml:space="preserve">and </w:t>
      </w:r>
      <w:r w:rsidR="006B51BA">
        <w:rPr>
          <w:rFonts w:eastAsia="SimSun" w:cstheme="minorHAnsi"/>
          <w:b/>
          <w:bCs/>
          <w:color w:val="4F81BD"/>
          <w:sz w:val="24"/>
          <w:szCs w:val="24"/>
          <w:lang w:eastAsia="de-DE"/>
        </w:rPr>
        <w:br/>
      </w:r>
      <w:proofErr w:type="spellStart"/>
      <w:r w:rsidRPr="001E1A9A">
        <w:rPr>
          <w:rFonts w:eastAsia="SimSun" w:cstheme="minorHAnsi"/>
          <w:b/>
          <w:bCs/>
          <w:color w:val="4F81BD"/>
          <w:sz w:val="24"/>
          <w:szCs w:val="24"/>
          <w:lang w:eastAsia="de-DE"/>
        </w:rPr>
        <w:t>Chiara</w:t>
      </w:r>
      <w:proofErr w:type="spellEnd"/>
      <w:r w:rsidRPr="001E1A9A">
        <w:rPr>
          <w:rFonts w:eastAsia="SimSun" w:cstheme="minorHAnsi"/>
          <w:b/>
          <w:bCs/>
          <w:color w:val="4F81BD"/>
          <w:sz w:val="24"/>
          <w:szCs w:val="24"/>
          <w:lang w:eastAsia="de-DE"/>
        </w:rPr>
        <w:t xml:space="preserve"> </w:t>
      </w:r>
      <w:proofErr w:type="spellStart"/>
      <w:r w:rsidRPr="001E1A9A">
        <w:rPr>
          <w:rFonts w:eastAsia="SimSun" w:cstheme="minorHAnsi"/>
          <w:b/>
          <w:bCs/>
          <w:color w:val="4F81BD"/>
          <w:sz w:val="24"/>
          <w:szCs w:val="24"/>
          <w:lang w:eastAsia="de-DE"/>
        </w:rPr>
        <w:t>Menchise</w:t>
      </w:r>
      <w:proofErr w:type="spellEnd"/>
      <w:r w:rsidRPr="001E1A9A">
        <w:rPr>
          <w:rFonts w:eastAsia="SimSun" w:cstheme="minorHAnsi"/>
          <w:b/>
          <w:bCs/>
          <w:color w:val="4F81BD"/>
          <w:sz w:val="24"/>
          <w:szCs w:val="24"/>
          <w:lang w:eastAsia="de-DE"/>
        </w:rPr>
        <w:t xml:space="preserve"> </w:t>
      </w:r>
      <w:hyperlink r:id="rId9" w:history="1">
        <w:r w:rsidRPr="001E1A9A">
          <w:rPr>
            <w:rFonts w:eastAsia="SimSun" w:cstheme="minorHAnsi"/>
            <w:b/>
            <w:bCs/>
            <w:color w:val="4F81BD"/>
            <w:sz w:val="24"/>
            <w:szCs w:val="24"/>
            <w:lang w:eastAsia="de-DE"/>
          </w:rPr>
          <w:t>chiara.menchise-intern@un.org</w:t>
        </w:r>
      </w:hyperlink>
      <w:r w:rsidR="006B51BA">
        <w:rPr>
          <w:rFonts w:eastAsia="SimSun" w:cstheme="minorHAnsi"/>
          <w:b/>
          <w:bCs/>
          <w:color w:val="4F81BD"/>
          <w:sz w:val="24"/>
          <w:szCs w:val="24"/>
          <w:lang w:eastAsia="de-DE"/>
        </w:rPr>
        <w:t xml:space="preserve"> </w:t>
      </w:r>
    </w:p>
    <w:p w:rsidR="0044139A" w:rsidRDefault="0044139A" w:rsidP="0044139A">
      <w:pPr>
        <w:pStyle w:val="Heading2"/>
      </w:pPr>
    </w:p>
    <w:p w:rsidR="0044139A" w:rsidRDefault="0044139A" w:rsidP="0044139A">
      <w:pPr>
        <w:pStyle w:val="Heading2"/>
      </w:pPr>
    </w:p>
    <w:p w:rsidR="00F854AA" w:rsidRPr="0044139A" w:rsidRDefault="006B51BA" w:rsidP="0044139A">
      <w:pPr>
        <w:pStyle w:val="Heading2"/>
      </w:pPr>
      <w:r>
        <w:t>Endnotes</w:t>
      </w:r>
    </w:p>
    <w:sectPr w:rsidR="00F854AA" w:rsidRPr="0044139A" w:rsidSect="00F06626">
      <w:headerReference w:type="default" r:id="rId10"/>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4A893" w16cid:durableId="1EA025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61" w:rsidRDefault="00E11B61">
      <w:pPr>
        <w:spacing w:after="0" w:line="240" w:lineRule="auto"/>
      </w:pPr>
    </w:p>
  </w:endnote>
  <w:endnote w:type="continuationSeparator" w:id="0">
    <w:p w:rsidR="00E11B61" w:rsidRDefault="00E11B61">
      <w:pPr>
        <w:spacing w:after="0" w:line="240" w:lineRule="auto"/>
      </w:pPr>
    </w:p>
  </w:endnote>
  <w:endnote w:id="1">
    <w:p w:rsidR="00F06626" w:rsidRPr="0031745C" w:rsidRDefault="00F06626" w:rsidP="00F06626">
      <w:pPr>
        <w:pStyle w:val="EndnoteText"/>
        <w:rPr>
          <w:rFonts w:ascii="Calibri" w:hAnsi="Calibri" w:cs="Calibri"/>
        </w:rPr>
      </w:pPr>
      <w:r w:rsidRPr="00BE15CB">
        <w:rPr>
          <w:rStyle w:val="EndnoteReference"/>
          <w:rFonts w:cstheme="minorHAnsi"/>
        </w:rPr>
        <w:endnoteRef/>
      </w:r>
      <w:r>
        <w:rPr>
          <w:rFonts w:ascii="Calibri" w:hAnsi="Calibri" w:cs="Calibri"/>
        </w:rPr>
        <w:t xml:space="preserve"> </w:t>
      </w:r>
      <w:proofErr w:type="gramStart"/>
      <w:r>
        <w:rPr>
          <w:rFonts w:ascii="Calibri" w:hAnsi="Calibri" w:cs="Calibri"/>
        </w:rPr>
        <w:t>Taking origins</w:t>
      </w:r>
      <w:r w:rsidRPr="00155846">
        <w:rPr>
          <w:rFonts w:ascii="Calibri" w:hAnsi="Calibri" w:cs="Calibri"/>
        </w:rPr>
        <w:t xml:space="preserve"> from internal earth processes.</w:t>
      </w:r>
      <w:proofErr w:type="gramEnd"/>
      <w:r w:rsidRPr="00155846">
        <w:rPr>
          <w:rFonts w:ascii="Calibri" w:hAnsi="Calibri" w:cs="Calibri"/>
        </w:rPr>
        <w:t xml:space="preserve"> Examples are earthquakes, volcanic activity and emissions, and related geophysical processes such as mass movements, landslides, rockslides, surface collapses, and debris or mud flows. Hydro-meteorological factors are important contributors to some of these processes. </w:t>
      </w:r>
      <w:r>
        <w:rPr>
          <w:rFonts w:ascii="Calibri" w:hAnsi="Calibri" w:cs="Calibri"/>
        </w:rPr>
        <w:t xml:space="preserve">Tsunamis </w:t>
      </w:r>
      <w:r w:rsidRPr="00155846">
        <w:rPr>
          <w:rFonts w:ascii="Calibri" w:hAnsi="Calibri" w:cs="Calibri"/>
        </w:rPr>
        <w:t>triggered by undersea earthquakes and other geological events, they essentially become oceanic process that is manifested as a coastal water-related hazard.</w:t>
      </w:r>
      <w:r>
        <w:rPr>
          <w:rFonts w:ascii="Calibri" w:hAnsi="Calibri" w:cs="Calibri"/>
        </w:rPr>
        <w:br/>
      </w:r>
    </w:p>
  </w:endnote>
  <w:endnote w:id="2">
    <w:p w:rsidR="00F06626" w:rsidRDefault="00F06626" w:rsidP="00F06626">
      <w:r>
        <w:rPr>
          <w:rStyle w:val="EndnoteReference"/>
        </w:rPr>
        <w:endnoteRef/>
      </w:r>
      <w:r>
        <w:t xml:space="preserve"> </w:t>
      </w:r>
      <w:r w:rsidRPr="002B74DD">
        <w:rPr>
          <w:sz w:val="20"/>
          <w:szCs w:val="20"/>
        </w:rPr>
        <w:t xml:space="preserve">Examples are tropical cyclones (also known as typhoons and hurricanes), floods including flash floods, drought, </w:t>
      </w:r>
      <w:proofErr w:type="spellStart"/>
      <w:r w:rsidRPr="002B74DD">
        <w:rPr>
          <w:sz w:val="20"/>
          <w:szCs w:val="20"/>
        </w:rPr>
        <w:t>heatwaves</w:t>
      </w:r>
      <w:proofErr w:type="spellEnd"/>
      <w:r w:rsidRPr="002B74DD">
        <w:rPr>
          <w:sz w:val="20"/>
          <w:szCs w:val="20"/>
        </w:rPr>
        <w:t xml:space="preserve"> and cold spells and coastal storm surges. Hydro-meteorological conditions may also be a factor in other hazards such as landslides, </w:t>
      </w:r>
      <w:proofErr w:type="spellStart"/>
      <w:r w:rsidRPr="002B74DD">
        <w:rPr>
          <w:sz w:val="20"/>
          <w:szCs w:val="20"/>
        </w:rPr>
        <w:t>wildland</w:t>
      </w:r>
      <w:proofErr w:type="spellEnd"/>
      <w:r w:rsidRPr="002B74DD">
        <w:rPr>
          <w:sz w:val="20"/>
          <w:szCs w:val="20"/>
        </w:rPr>
        <w:t xml:space="preserve"> fires, locust plagues, epidemics, and in the transport and dispersal of toxic substances and volcanic eruption material. </w:t>
      </w:r>
    </w:p>
  </w:endnote>
  <w:endnote w:id="3">
    <w:p w:rsidR="00F06626" w:rsidRDefault="00F06626" w:rsidP="00F06626">
      <w:pPr>
        <w:pStyle w:val="EndnoteText"/>
      </w:pPr>
      <w:r w:rsidRPr="0031745C">
        <w:rPr>
          <w:rStyle w:val="EndnoteReference"/>
          <w:rFonts w:ascii="Calibri" w:hAnsi="Calibri" w:cs="Calibri"/>
        </w:rPr>
        <w:endnoteRef/>
      </w:r>
      <w:r w:rsidRPr="0031745C">
        <w:rPr>
          <w:rFonts w:ascii="Calibri" w:hAnsi="Calibri" w:cs="Calibri"/>
        </w:rPr>
        <w:t xml:space="preserve"> </w:t>
      </w:r>
      <w:r>
        <w:rPr>
          <w:rFonts w:ascii="Calibri" w:hAnsi="Calibri" w:cs="Calibri"/>
        </w:rPr>
        <w:t xml:space="preserve"> </w:t>
      </w:r>
      <w:r w:rsidRPr="0031745C">
        <w:rPr>
          <w:rFonts w:ascii="Calibri" w:hAnsi="Calibri" w:cs="Calibri"/>
        </w:rPr>
        <w:t>Rapid as earthquakes, with early warning as for cyclones, hurricanes and typhoons or slow as for droughts</w:t>
      </w:r>
    </w:p>
  </w:endnote>
  <w:endnote w:id="4">
    <w:p w:rsidR="00155846" w:rsidRDefault="00155846" w:rsidP="00CD7AB8">
      <w:pPr>
        <w:pStyle w:val="EndnoteText"/>
        <w:tabs>
          <w:tab w:val="left" w:pos="284"/>
        </w:tabs>
        <w:rPr>
          <w:rFonts w:cs="Arial"/>
          <w:color w:val="000000"/>
          <w:lang w:val="en-GB"/>
        </w:rPr>
      </w:pPr>
    </w:p>
    <w:p w:rsidR="00E95202" w:rsidRPr="00CD7AB8" w:rsidRDefault="00E65715" w:rsidP="001E1A9A">
      <w:pPr>
        <w:pStyle w:val="EndnoteText"/>
        <w:tabs>
          <w:tab w:val="left" w:pos="284"/>
        </w:tabs>
        <w:spacing w:after="120"/>
        <w:rPr>
          <w:rFonts w:cs="Arial"/>
          <w:color w:val="000000"/>
          <w:lang w:val="en-GB"/>
        </w:rPr>
      </w:pPr>
      <w:r w:rsidRPr="001E1A9A">
        <w:rPr>
          <w:rFonts w:cs="Arial"/>
          <w:color w:val="000000"/>
          <w:vertAlign w:val="superscript"/>
          <w:lang w:val="en-GB"/>
        </w:rPr>
        <w:t>viii</w:t>
      </w:r>
      <w:r w:rsidR="00C95D72" w:rsidRPr="001E1A9A">
        <w:rPr>
          <w:rFonts w:cs="Arial"/>
          <w:color w:val="000000"/>
          <w:vertAlign w:val="superscript"/>
          <w:lang w:val="en-GB"/>
        </w:rPr>
        <w:t>.</w:t>
      </w:r>
      <w:r w:rsidR="00C95D72" w:rsidRPr="00CD7AB8">
        <w:rPr>
          <w:rFonts w:cs="Arial"/>
          <w:color w:val="000000"/>
          <w:lang w:val="en-GB"/>
        </w:rPr>
        <w:tab/>
        <w:t>Have different timescales, with targets, indicators and time frames</w:t>
      </w:r>
      <w:r>
        <w:rPr>
          <w:rFonts w:cs="Arial"/>
          <w:color w:val="000000"/>
          <w:lang w:val="en-GB"/>
        </w:rPr>
        <w:t>:</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Aims at preventing the creation of risk</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Aims at reducing existing risk</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Aims at strengthening economic, social, health and environmental resilience</w:t>
      </w:r>
    </w:p>
    <w:p w:rsidR="00C95D72" w:rsidRDefault="00C95D72" w:rsidP="001E1A9A">
      <w:pPr>
        <w:pStyle w:val="EndnoteText"/>
        <w:numPr>
          <w:ilvl w:val="0"/>
          <w:numId w:val="37"/>
        </w:numPr>
        <w:tabs>
          <w:tab w:val="left" w:pos="284"/>
        </w:tabs>
      </w:pPr>
      <w:r w:rsidRPr="00CD7AB8">
        <w:rPr>
          <w:rFonts w:cs="Arial"/>
          <w:color w:val="000000"/>
          <w:lang w:val="en-GB"/>
        </w:rPr>
        <w:t>Address the recommendations of Priority 1, Understanding disaster risk: Based on risk knowledge and assessments to identify risks at the local and national levels of the technical, financial and administrative disaster risk management capacity</w:t>
      </w:r>
      <w:r w:rsidRPr="00CD7AB8">
        <w:t xml:space="preserve"> </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Address the recommendations of Priority 2, Strengthening disaster risk governance to manage disaster risk: Mainstream and integrate disaster risk reduction within and across all sectors with defining roles and responsibilities</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Address the recommendations of Priority 3, Investing in disaster risk reduction for resilience: Guide to allocation of the necessary resources at all levels of administration for the development and the implementation of disaster risk reduction strategies in all relevant sectors</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Address the recommendations of Priority 4, Enhancing disaster preparedness for effective response and to “Build Back Better” in recovery, rehabilitation and reconstruction: Strengthen disaster preparedness for response and integrate disaster risk reduction response preparedness and development measures to make nations and communities resilient to disasters</w:t>
      </w:r>
    </w:p>
    <w:p w:rsidR="00C95D72" w:rsidRPr="00CD7AB8" w:rsidRDefault="00C95D72" w:rsidP="001E1A9A">
      <w:pPr>
        <w:pStyle w:val="EndnoteText"/>
        <w:numPr>
          <w:ilvl w:val="0"/>
          <w:numId w:val="37"/>
        </w:numPr>
        <w:tabs>
          <w:tab w:val="left" w:pos="284"/>
        </w:tabs>
        <w:rPr>
          <w:rFonts w:cs="Arial"/>
          <w:color w:val="000000"/>
          <w:lang w:val="en-GB"/>
        </w:rPr>
      </w:pPr>
      <w:r w:rsidRPr="00CD7AB8">
        <w:rPr>
          <w:rFonts w:cs="Arial"/>
          <w:color w:val="000000"/>
          <w:lang w:val="en-GB"/>
        </w:rPr>
        <w:t xml:space="preserve">Promotes policy coherence relevant to disaster risk reduction such as sustainable development, poverty eradication, and climate change, notably with the </w:t>
      </w:r>
      <w:proofErr w:type="spellStart"/>
      <w:r w:rsidRPr="00CD7AB8">
        <w:rPr>
          <w:rFonts w:cs="Arial"/>
          <w:color w:val="000000"/>
          <w:lang w:val="en-GB"/>
        </w:rPr>
        <w:t>SDGs</w:t>
      </w:r>
      <w:proofErr w:type="spellEnd"/>
      <w:r w:rsidRPr="00CD7AB8">
        <w:rPr>
          <w:rFonts w:cs="Arial"/>
          <w:color w:val="000000"/>
          <w:lang w:val="en-GB"/>
        </w:rPr>
        <w:t xml:space="preserve"> and the Paris Agreement </w:t>
      </w:r>
    </w:p>
    <w:p w:rsidR="00C95D72" w:rsidRPr="007F35FE" w:rsidRDefault="00C95D72" w:rsidP="00712AA9">
      <w:pPr>
        <w:pStyle w:val="EndnoteText"/>
        <w:numPr>
          <w:ilvl w:val="0"/>
          <w:numId w:val="37"/>
        </w:numPr>
        <w:tabs>
          <w:tab w:val="left" w:pos="284"/>
        </w:tabs>
        <w:spacing w:after="240"/>
        <w:ind w:left="714" w:hanging="357"/>
        <w:rPr>
          <w:lang w:val="en-GB"/>
        </w:rPr>
      </w:pPr>
      <w:r w:rsidRPr="00CD7AB8">
        <w:rPr>
          <w:rFonts w:cs="Arial"/>
          <w:color w:val="000000"/>
          <w:lang w:val="en-GB"/>
        </w:rPr>
        <w:t>Have mechanisms to follow-up, periodically assess and publicly report on progress.</w:t>
      </w:r>
    </w:p>
  </w:endnote>
  <w:endnote w:id="5">
    <w:p w:rsidR="00712AA9" w:rsidRPr="00155846" w:rsidRDefault="00712AA9" w:rsidP="00712AA9">
      <w:r>
        <w:rPr>
          <w:rStyle w:val="EndnoteReference"/>
        </w:rPr>
        <w:endnoteRef/>
      </w:r>
      <w:r w:rsidRPr="00155846">
        <w:rPr>
          <w:sz w:val="20"/>
          <w:szCs w:val="20"/>
        </w:rPr>
        <w:t xml:space="preserve"> </w:t>
      </w:r>
      <w:r>
        <w:rPr>
          <w:sz w:val="20"/>
          <w:szCs w:val="20"/>
        </w:rPr>
        <w:t>O</w:t>
      </w:r>
      <w:r w:rsidRPr="00155846">
        <w:rPr>
          <w:sz w:val="20"/>
          <w:szCs w:val="20"/>
        </w:rPr>
        <w:t>f organic origin or conveyed by biological vectors, including pathogenic micro-organisms, toxins and bioactive substances. Examples are bacteria, viruses or parasites as well as venomous wildlife and insects, poisonous plants, and mosquitoes carrying dise</w:t>
      </w:r>
      <w:r>
        <w:rPr>
          <w:sz w:val="20"/>
          <w:szCs w:val="20"/>
        </w:rPr>
        <w:t xml:space="preserve">ase-causing agents. </w:t>
      </w:r>
    </w:p>
  </w:endnote>
  <w:endnote w:id="6">
    <w:p w:rsidR="00712AA9" w:rsidRDefault="00712AA9" w:rsidP="00712AA9">
      <w:pPr>
        <w:pStyle w:val="EndnoteText"/>
        <w:spacing w:after="160" w:line="259" w:lineRule="auto"/>
      </w:pPr>
      <w:r>
        <w:rPr>
          <w:rStyle w:val="EndnoteReference"/>
        </w:rPr>
        <w:endnoteRef/>
      </w:r>
      <w:r>
        <w:t xml:space="preserve">  O</w:t>
      </w:r>
      <w:r w:rsidRPr="002B74DD">
        <w:t>riginate from technological or industrial conditions, dangerous procedures, infrastructure failures or specific human activities. Examples include industrial pollution, nuclear radiation, toxic wastes, dam failures, transport accidents, factory explosions, fires and chemical spills. Technological hazards also may arise directly as a result of the impacts of a natural hazard event.</w:t>
      </w:r>
    </w:p>
  </w:endnote>
  <w:endnote w:id="7">
    <w:p w:rsidR="00712AA9" w:rsidRDefault="00712AA9" w:rsidP="00712AA9">
      <w:r>
        <w:rPr>
          <w:rStyle w:val="EndnoteReference"/>
        </w:rPr>
        <w:endnoteRef/>
      </w:r>
      <w:proofErr w:type="gramStart"/>
      <w:r>
        <w:rPr>
          <w:sz w:val="20"/>
          <w:szCs w:val="20"/>
        </w:rPr>
        <w:t>Such as c</w:t>
      </w:r>
      <w:r w:rsidRPr="00155846">
        <w:rPr>
          <w:sz w:val="20"/>
          <w:szCs w:val="20"/>
        </w:rPr>
        <w:t>hemical, natural and biological hazards.</w:t>
      </w:r>
      <w:proofErr w:type="gramEnd"/>
      <w:r w:rsidRPr="00155846">
        <w:rPr>
          <w:sz w:val="20"/>
          <w:szCs w:val="20"/>
        </w:rPr>
        <w:t xml:space="preserve"> They can be created by environmental degradation, physical or chemical pollution in the air, water and soil.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98390"/>
      <w:docPartObj>
        <w:docPartGallery w:val="Page Numbers (Bottom of Page)"/>
        <w:docPartUnique/>
      </w:docPartObj>
    </w:sdtPr>
    <w:sdtEndPr>
      <w:rPr>
        <w:noProof/>
      </w:rPr>
    </w:sdtEndPr>
    <w:sdtContent>
      <w:p w:rsidR="00C95D72" w:rsidRDefault="00F4375F">
        <w:pPr>
          <w:pStyle w:val="Footer"/>
          <w:jc w:val="center"/>
        </w:pPr>
        <w:r>
          <w:fldChar w:fldCharType="begin"/>
        </w:r>
        <w:r w:rsidR="00C95D72">
          <w:instrText xml:space="preserve"> PAGE   \* MERGEFORMAT </w:instrText>
        </w:r>
        <w:r>
          <w:fldChar w:fldCharType="separate"/>
        </w:r>
        <w:r w:rsidR="00425828">
          <w:rPr>
            <w:noProof/>
          </w:rPr>
          <w:t>9</w:t>
        </w:r>
        <w:r>
          <w:rPr>
            <w:noProof/>
          </w:rPr>
          <w:fldChar w:fldCharType="end"/>
        </w:r>
      </w:p>
    </w:sdtContent>
  </w:sdt>
  <w:p w:rsidR="00C95D72" w:rsidRDefault="00C9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61" w:rsidRDefault="00E11B61">
      <w:pPr>
        <w:spacing w:after="0" w:line="240" w:lineRule="auto"/>
      </w:pPr>
    </w:p>
  </w:footnote>
  <w:footnote w:type="continuationSeparator" w:id="0">
    <w:p w:rsidR="00E11B61" w:rsidRDefault="00E11B6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A" w:rsidRDefault="006D4E4A" w:rsidP="006D4E4A">
    <w:pPr>
      <w:pStyle w:val="Header"/>
    </w:pPr>
    <w:r>
      <w:rPr>
        <w:noProof/>
        <w:lang w:eastAsia="en-US"/>
      </w:rPr>
      <w:drawing>
        <wp:inline distT="0" distB="0" distL="0" distR="0">
          <wp:extent cx="514350" cy="43308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528796" cy="445247"/>
                  </a:xfrm>
                  <a:prstGeom prst="rect">
                    <a:avLst/>
                  </a:prstGeom>
                </pic:spPr>
              </pic:pic>
            </a:graphicData>
          </a:graphic>
        </wp:inline>
      </w:drawing>
    </w:r>
    <w:r>
      <w:tab/>
    </w:r>
    <w:r>
      <w:tab/>
    </w:r>
    <w:r w:rsidRPr="00925E60">
      <w:rPr>
        <w:noProof/>
        <w:lang w:eastAsia="en-US"/>
      </w:rPr>
      <w:drawing>
        <wp:inline distT="0" distB="0" distL="0" distR="0">
          <wp:extent cx="922211" cy="302104"/>
          <wp:effectExtent l="0" t="0" r="0" b="3175"/>
          <wp:docPr id="9" name="Picture 4" descr="C:\Users\Ponserre\Desktop\GAR-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Ponserre\Desktop\GAR-Gre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211" cy="302104"/>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6D4E4A" w:rsidRDefault="006D4E4A" w:rsidP="006D4E4A">
    <w:pPr>
      <w:pStyle w:val="Header"/>
    </w:pPr>
  </w:p>
  <w:p w:rsidR="006D4E4A" w:rsidRPr="00E94934" w:rsidRDefault="006D4E4A" w:rsidP="006D4E4A">
    <w:pPr>
      <w:pStyle w:val="Header"/>
    </w:pPr>
  </w:p>
  <w:p w:rsidR="006D4E4A" w:rsidRDefault="006D4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1A8"/>
    <w:multiLevelType w:val="multilevel"/>
    <w:tmpl w:val="DA1A919C"/>
    <w:lvl w:ilvl="0">
      <w:start w:val="1"/>
      <w:numFmt w:val="decimal"/>
      <w:lvlText w:val="%1."/>
      <w:lvlJc w:val="left"/>
      <w:pPr>
        <w:ind w:left="720" w:hanging="360"/>
      </w:pPr>
      <w:rPr>
        <w:rFonts w:cs="Times New Roman"/>
      </w:rPr>
    </w:lvl>
    <w:lvl w:ilv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08973DF7"/>
    <w:multiLevelType w:val="hybridMultilevel"/>
    <w:tmpl w:val="EAF8C736"/>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050A6"/>
    <w:multiLevelType w:val="hybridMultilevel"/>
    <w:tmpl w:val="4EE884D8"/>
    <w:lvl w:ilvl="0" w:tplc="088C1D6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623ED"/>
    <w:multiLevelType w:val="hybridMultilevel"/>
    <w:tmpl w:val="EC028CD0"/>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61AA6"/>
    <w:multiLevelType w:val="hybridMultilevel"/>
    <w:tmpl w:val="5A98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873F24"/>
    <w:multiLevelType w:val="hybridMultilevel"/>
    <w:tmpl w:val="D64EF950"/>
    <w:lvl w:ilvl="0" w:tplc="F9D86498">
      <w:numFmt w:val="bullet"/>
      <w:lvlText w:val=""/>
      <w:lvlJc w:val="left"/>
      <w:pPr>
        <w:ind w:left="1092" w:hanging="525"/>
      </w:pPr>
      <w:rPr>
        <w:rFonts w:ascii="Symbol" w:eastAsia="Courier New" w:hAnsi="Symbol" w:cs="Courier New" w:hint="default"/>
      </w:rPr>
    </w:lvl>
    <w:lvl w:ilvl="1" w:tplc="28385D76">
      <w:numFmt w:val="bullet"/>
      <w:lvlText w:val="·"/>
      <w:lvlJc w:val="left"/>
      <w:pPr>
        <w:ind w:left="1710" w:hanging="63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B5243"/>
    <w:multiLevelType w:val="hybridMultilevel"/>
    <w:tmpl w:val="2B2CB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94AFA"/>
    <w:multiLevelType w:val="hybridMultilevel"/>
    <w:tmpl w:val="4C104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5D64"/>
    <w:multiLevelType w:val="hybridMultilevel"/>
    <w:tmpl w:val="FCE8E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067219"/>
    <w:multiLevelType w:val="hybridMultilevel"/>
    <w:tmpl w:val="0C86BD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15B54"/>
    <w:multiLevelType w:val="hybridMultilevel"/>
    <w:tmpl w:val="BDCAA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01F95"/>
    <w:multiLevelType w:val="hybridMultilevel"/>
    <w:tmpl w:val="A62ED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931FA"/>
    <w:multiLevelType w:val="hybridMultilevel"/>
    <w:tmpl w:val="25A806A0"/>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1848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61356E6"/>
    <w:multiLevelType w:val="hybridMultilevel"/>
    <w:tmpl w:val="08864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93E87"/>
    <w:multiLevelType w:val="hybridMultilevel"/>
    <w:tmpl w:val="F93C08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6013D"/>
    <w:multiLevelType w:val="hybridMultilevel"/>
    <w:tmpl w:val="835A8D56"/>
    <w:lvl w:ilvl="0" w:tplc="A9D838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393C36"/>
    <w:multiLevelType w:val="hybridMultilevel"/>
    <w:tmpl w:val="250EE82E"/>
    <w:lvl w:ilvl="0" w:tplc="F9D86498">
      <w:numFmt w:val="bullet"/>
      <w:lvlText w:val=""/>
      <w:lvlJc w:val="left"/>
      <w:pPr>
        <w:ind w:left="1092" w:hanging="525"/>
      </w:pPr>
      <w:rPr>
        <w:rFonts w:ascii="Symbol" w:eastAsia="Courier New" w:hAnsi="Symbol" w:cs="Courier New" w:hint="default"/>
      </w:rPr>
    </w:lvl>
    <w:lvl w:ilvl="1" w:tplc="04090003">
      <w:start w:val="1"/>
      <w:numFmt w:val="bullet"/>
      <w:lvlText w:val="o"/>
      <w:lvlJc w:val="left"/>
      <w:pPr>
        <w:ind w:left="1710" w:hanging="63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667AD"/>
    <w:multiLevelType w:val="hybridMultilevel"/>
    <w:tmpl w:val="6DD01DD4"/>
    <w:lvl w:ilvl="0" w:tplc="998E7D4A">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3BF73EE"/>
    <w:multiLevelType w:val="hybridMultilevel"/>
    <w:tmpl w:val="8774C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A3C11"/>
    <w:multiLevelType w:val="hybridMultilevel"/>
    <w:tmpl w:val="4124671A"/>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A83838"/>
    <w:multiLevelType w:val="hybridMultilevel"/>
    <w:tmpl w:val="F02A29A8"/>
    <w:lvl w:ilvl="0" w:tplc="34D6405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1694E"/>
    <w:multiLevelType w:val="hybridMultilevel"/>
    <w:tmpl w:val="E7CAC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F360B"/>
    <w:multiLevelType w:val="multilevel"/>
    <w:tmpl w:val="13620EE0"/>
    <w:lvl w:ilvl="0">
      <w:start w:val="1"/>
      <w:numFmt w:val="decimal"/>
      <w:lvlText w:val="%1."/>
      <w:lvlJc w:val="left"/>
      <w:pPr>
        <w:ind w:left="720" w:hanging="360"/>
      </w:pPr>
    </w:lvl>
    <w:lvl w:ilv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442749F1"/>
    <w:multiLevelType w:val="multilevel"/>
    <w:tmpl w:val="BA920E04"/>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6224D07"/>
    <w:multiLevelType w:val="hybridMultilevel"/>
    <w:tmpl w:val="2B28F540"/>
    <w:lvl w:ilvl="0" w:tplc="0809000F">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E031C94"/>
    <w:multiLevelType w:val="hybridMultilevel"/>
    <w:tmpl w:val="2E749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B416B"/>
    <w:multiLevelType w:val="hybridMultilevel"/>
    <w:tmpl w:val="A296CAF2"/>
    <w:lvl w:ilvl="0" w:tplc="F9D86498">
      <w:numFmt w:val="bullet"/>
      <w:lvlText w:val=""/>
      <w:lvlJc w:val="left"/>
      <w:pPr>
        <w:ind w:left="1092" w:hanging="525"/>
      </w:pPr>
      <w:rPr>
        <w:rFonts w:ascii="Symbol" w:eastAsia="Courier New" w:hAnsi="Symbol"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4F8556A7"/>
    <w:multiLevelType w:val="multilevel"/>
    <w:tmpl w:val="2B7EF6E4"/>
    <w:lvl w:ilvl="0">
      <w:start w:val="1"/>
      <w:numFmt w:val="upperRoman"/>
      <w:lvlText w:val="%1."/>
      <w:lvlJc w:val="right"/>
      <w:pPr>
        <w:ind w:left="720" w:hanging="360"/>
      </w:pPr>
    </w:lvl>
    <w:lvl w:ilv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0FF0930"/>
    <w:multiLevelType w:val="hybridMultilevel"/>
    <w:tmpl w:val="699E55E8"/>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50549D"/>
    <w:multiLevelType w:val="multilevel"/>
    <w:tmpl w:val="9C96BD10"/>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A2455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B2C0128"/>
    <w:multiLevelType w:val="hybridMultilevel"/>
    <w:tmpl w:val="22882598"/>
    <w:lvl w:ilvl="0" w:tplc="088C1D6A">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6A330E"/>
    <w:multiLevelType w:val="hybridMultilevel"/>
    <w:tmpl w:val="B62EAB38"/>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7A6FEF"/>
    <w:multiLevelType w:val="hybridMultilevel"/>
    <w:tmpl w:val="DA50B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5286C"/>
    <w:multiLevelType w:val="multilevel"/>
    <w:tmpl w:val="BED21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FA4AC0"/>
    <w:multiLevelType w:val="hybridMultilevel"/>
    <w:tmpl w:val="C4F6A964"/>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844E5C"/>
    <w:multiLevelType w:val="hybridMultilevel"/>
    <w:tmpl w:val="A692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47972"/>
    <w:multiLevelType w:val="hybridMultilevel"/>
    <w:tmpl w:val="9692DE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334C1B"/>
    <w:multiLevelType w:val="hybridMultilevel"/>
    <w:tmpl w:val="D1F8BAE0"/>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E07E61"/>
    <w:multiLevelType w:val="hybridMultilevel"/>
    <w:tmpl w:val="33DE3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B0982"/>
    <w:multiLevelType w:val="hybridMultilevel"/>
    <w:tmpl w:val="E836F3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8D4B7C"/>
    <w:multiLevelType w:val="hybridMultilevel"/>
    <w:tmpl w:val="3C12F104"/>
    <w:lvl w:ilvl="0" w:tplc="088C1D6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8"/>
  </w:num>
  <w:num w:numId="3">
    <w:abstractNumId w:val="16"/>
  </w:num>
  <w:num w:numId="4">
    <w:abstractNumId w:val="10"/>
  </w:num>
  <w:num w:numId="5">
    <w:abstractNumId w:val="22"/>
  </w:num>
  <w:num w:numId="6">
    <w:abstractNumId w:val="0"/>
  </w:num>
  <w:num w:numId="7">
    <w:abstractNumId w:val="28"/>
  </w:num>
  <w:num w:numId="8">
    <w:abstractNumId w:val="6"/>
  </w:num>
  <w:num w:numId="9">
    <w:abstractNumId w:val="21"/>
  </w:num>
  <w:num w:numId="10">
    <w:abstractNumId w:val="37"/>
  </w:num>
  <w:num w:numId="11">
    <w:abstractNumId w:val="40"/>
  </w:num>
  <w:num w:numId="12">
    <w:abstractNumId w:val="31"/>
  </w:num>
  <w:num w:numId="13">
    <w:abstractNumId w:val="38"/>
  </w:num>
  <w:num w:numId="14">
    <w:abstractNumId w:val="7"/>
  </w:num>
  <w:num w:numId="15">
    <w:abstractNumId w:val="34"/>
  </w:num>
  <w:num w:numId="16">
    <w:abstractNumId w:val="9"/>
  </w:num>
  <w:num w:numId="17">
    <w:abstractNumId w:val="26"/>
  </w:num>
  <w:num w:numId="18">
    <w:abstractNumId w:val="14"/>
  </w:num>
  <w:num w:numId="19">
    <w:abstractNumId w:val="11"/>
  </w:num>
  <w:num w:numId="20">
    <w:abstractNumId w:val="19"/>
  </w:num>
  <w:num w:numId="21">
    <w:abstractNumId w:val="15"/>
  </w:num>
  <w:num w:numId="22">
    <w:abstractNumId w:val="41"/>
  </w:num>
  <w:num w:numId="23">
    <w:abstractNumId w:val="23"/>
  </w:num>
  <w:num w:numId="24">
    <w:abstractNumId w:val="2"/>
  </w:num>
  <w:num w:numId="25">
    <w:abstractNumId w:val="29"/>
  </w:num>
  <w:num w:numId="26">
    <w:abstractNumId w:val="13"/>
  </w:num>
  <w:num w:numId="27">
    <w:abstractNumId w:val="30"/>
  </w:num>
  <w:num w:numId="28">
    <w:abstractNumId w:val="24"/>
  </w:num>
  <w:num w:numId="29">
    <w:abstractNumId w:val="42"/>
  </w:num>
  <w:num w:numId="30">
    <w:abstractNumId w:val="27"/>
  </w:num>
  <w:num w:numId="31">
    <w:abstractNumId w:val="5"/>
  </w:num>
  <w:num w:numId="32">
    <w:abstractNumId w:val="17"/>
  </w:num>
  <w:num w:numId="33">
    <w:abstractNumId w:val="36"/>
  </w:num>
  <w:num w:numId="34">
    <w:abstractNumId w:val="39"/>
  </w:num>
  <w:num w:numId="35">
    <w:abstractNumId w:val="3"/>
  </w:num>
  <w:num w:numId="36">
    <w:abstractNumId w:val="8"/>
  </w:num>
  <w:num w:numId="37">
    <w:abstractNumId w:val="4"/>
  </w:num>
  <w:num w:numId="38">
    <w:abstractNumId w:val="1"/>
  </w:num>
  <w:num w:numId="39">
    <w:abstractNumId w:val="33"/>
  </w:num>
  <w:num w:numId="40">
    <w:abstractNumId w:val="20"/>
  </w:num>
  <w:num w:numId="41">
    <w:abstractNumId w:val="25"/>
  </w:num>
  <w:num w:numId="42">
    <w:abstractNumId w:val="32"/>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833D6"/>
    <w:rsid w:val="00002AE5"/>
    <w:rsid w:val="00006F22"/>
    <w:rsid w:val="00067730"/>
    <w:rsid w:val="000830E1"/>
    <w:rsid w:val="000B4B4D"/>
    <w:rsid w:val="0012320B"/>
    <w:rsid w:val="00125256"/>
    <w:rsid w:val="00135AF6"/>
    <w:rsid w:val="00155846"/>
    <w:rsid w:val="00190626"/>
    <w:rsid w:val="001929A5"/>
    <w:rsid w:val="001C168A"/>
    <w:rsid w:val="001C6E8B"/>
    <w:rsid w:val="001E1A9A"/>
    <w:rsid w:val="001E7791"/>
    <w:rsid w:val="002149F8"/>
    <w:rsid w:val="00216057"/>
    <w:rsid w:val="00220B3E"/>
    <w:rsid w:val="00237095"/>
    <w:rsid w:val="002632B8"/>
    <w:rsid w:val="002B5E18"/>
    <w:rsid w:val="002B74DD"/>
    <w:rsid w:val="00316FA5"/>
    <w:rsid w:val="0031745C"/>
    <w:rsid w:val="0032741A"/>
    <w:rsid w:val="00334462"/>
    <w:rsid w:val="00344D4F"/>
    <w:rsid w:val="00373748"/>
    <w:rsid w:val="00380653"/>
    <w:rsid w:val="003970A8"/>
    <w:rsid w:val="003B5C4F"/>
    <w:rsid w:val="003D2328"/>
    <w:rsid w:val="003F49AC"/>
    <w:rsid w:val="00425828"/>
    <w:rsid w:val="0044139A"/>
    <w:rsid w:val="004509DB"/>
    <w:rsid w:val="004867D4"/>
    <w:rsid w:val="004B545A"/>
    <w:rsid w:val="004D4307"/>
    <w:rsid w:val="004E5027"/>
    <w:rsid w:val="004F1F30"/>
    <w:rsid w:val="004F5C6D"/>
    <w:rsid w:val="00501ED3"/>
    <w:rsid w:val="0054106C"/>
    <w:rsid w:val="005833D6"/>
    <w:rsid w:val="00617F62"/>
    <w:rsid w:val="006926F0"/>
    <w:rsid w:val="006A4696"/>
    <w:rsid w:val="006A6116"/>
    <w:rsid w:val="006B1EDB"/>
    <w:rsid w:val="006B51BA"/>
    <w:rsid w:val="006B5BAD"/>
    <w:rsid w:val="006C3834"/>
    <w:rsid w:val="006D4E4A"/>
    <w:rsid w:val="00712AA9"/>
    <w:rsid w:val="00720547"/>
    <w:rsid w:val="007478EB"/>
    <w:rsid w:val="00771588"/>
    <w:rsid w:val="00783CB5"/>
    <w:rsid w:val="007A71C7"/>
    <w:rsid w:val="007B71A3"/>
    <w:rsid w:val="007C5951"/>
    <w:rsid w:val="008215C7"/>
    <w:rsid w:val="00861B3F"/>
    <w:rsid w:val="0087258A"/>
    <w:rsid w:val="008C54A3"/>
    <w:rsid w:val="008D13B3"/>
    <w:rsid w:val="008D3874"/>
    <w:rsid w:val="00924F82"/>
    <w:rsid w:val="00927657"/>
    <w:rsid w:val="00940459"/>
    <w:rsid w:val="0095009E"/>
    <w:rsid w:val="00950960"/>
    <w:rsid w:val="00966DDB"/>
    <w:rsid w:val="009B1395"/>
    <w:rsid w:val="009B6113"/>
    <w:rsid w:val="009C5ED6"/>
    <w:rsid w:val="009E106B"/>
    <w:rsid w:val="009F01B7"/>
    <w:rsid w:val="00A31281"/>
    <w:rsid w:val="00A60E26"/>
    <w:rsid w:val="00A65CE0"/>
    <w:rsid w:val="00A7795B"/>
    <w:rsid w:val="00A91DA4"/>
    <w:rsid w:val="00A92FD7"/>
    <w:rsid w:val="00AB03AF"/>
    <w:rsid w:val="00AF00D2"/>
    <w:rsid w:val="00AF07C9"/>
    <w:rsid w:val="00AF2DD4"/>
    <w:rsid w:val="00B04B79"/>
    <w:rsid w:val="00B3046B"/>
    <w:rsid w:val="00B35CCC"/>
    <w:rsid w:val="00BC53BD"/>
    <w:rsid w:val="00BC5E10"/>
    <w:rsid w:val="00C11AD6"/>
    <w:rsid w:val="00C23994"/>
    <w:rsid w:val="00C62F60"/>
    <w:rsid w:val="00C95D72"/>
    <w:rsid w:val="00CD6910"/>
    <w:rsid w:val="00CD7AB8"/>
    <w:rsid w:val="00D534CC"/>
    <w:rsid w:val="00DB6B43"/>
    <w:rsid w:val="00DF66CF"/>
    <w:rsid w:val="00E05F00"/>
    <w:rsid w:val="00E11B61"/>
    <w:rsid w:val="00E15B89"/>
    <w:rsid w:val="00E26842"/>
    <w:rsid w:val="00E55A32"/>
    <w:rsid w:val="00E65715"/>
    <w:rsid w:val="00E83D17"/>
    <w:rsid w:val="00E95202"/>
    <w:rsid w:val="00EA1468"/>
    <w:rsid w:val="00EC6A8E"/>
    <w:rsid w:val="00F06626"/>
    <w:rsid w:val="00F149A2"/>
    <w:rsid w:val="00F30FE8"/>
    <w:rsid w:val="00F4375F"/>
    <w:rsid w:val="00F74D49"/>
    <w:rsid w:val="00F76C16"/>
    <w:rsid w:val="00F854AA"/>
    <w:rsid w:val="00F943BE"/>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D6"/>
  </w:style>
  <w:style w:type="paragraph" w:styleId="Heading1">
    <w:name w:val="heading 1"/>
    <w:basedOn w:val="Normal"/>
    <w:next w:val="Normal"/>
    <w:link w:val="Heading1Char"/>
    <w:uiPriority w:val="9"/>
    <w:qFormat/>
    <w:rsid w:val="00317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C11AD6"/>
    <w:pPr>
      <w:keepNext/>
      <w:keepLines/>
      <w:spacing w:before="200" w:after="0" w:line="276" w:lineRule="auto"/>
      <w:outlineLvl w:val="2"/>
    </w:pPr>
    <w:rPr>
      <w:rFonts w:ascii="Cambria" w:eastAsia="SimSun" w:hAnsi="Cambria" w:cs="Times New Roman"/>
      <w:b/>
      <w:bCs/>
      <w:color w:val="4F81BD"/>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18"/>
  </w:style>
  <w:style w:type="paragraph" w:styleId="Footer">
    <w:name w:val="footer"/>
    <w:basedOn w:val="Normal"/>
    <w:link w:val="FooterChar"/>
    <w:uiPriority w:val="99"/>
    <w:unhideWhenUsed/>
    <w:rsid w:val="002B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18"/>
  </w:style>
  <w:style w:type="paragraph" w:styleId="ListParagraph">
    <w:name w:val="List Paragraph"/>
    <w:basedOn w:val="Normal"/>
    <w:uiPriority w:val="34"/>
    <w:qFormat/>
    <w:rsid w:val="00CD6910"/>
    <w:pPr>
      <w:spacing w:after="200" w:line="276" w:lineRule="auto"/>
      <w:ind w:left="720"/>
      <w:contextualSpacing/>
    </w:pPr>
    <w:rPr>
      <w:rFonts w:ascii="Calibri" w:eastAsia="Calibri" w:hAnsi="Calibri" w:cs="Arial"/>
      <w:lang w:eastAsia="en-US"/>
    </w:rPr>
  </w:style>
  <w:style w:type="character" w:styleId="Hyperlink">
    <w:name w:val="Hyperlink"/>
    <w:basedOn w:val="DefaultParagraphFont"/>
    <w:uiPriority w:val="99"/>
    <w:rsid w:val="000B4B4D"/>
    <w:rPr>
      <w:rFonts w:cs="Times New Roman"/>
      <w:color w:val="0000FF"/>
      <w:u w:val="single"/>
    </w:rPr>
  </w:style>
  <w:style w:type="paragraph" w:styleId="BalloonText">
    <w:name w:val="Balloon Text"/>
    <w:basedOn w:val="Normal"/>
    <w:link w:val="BalloonTextChar"/>
    <w:uiPriority w:val="99"/>
    <w:semiHidden/>
    <w:unhideWhenUsed/>
    <w:rsid w:val="0026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B8"/>
    <w:rPr>
      <w:rFonts w:ascii="Segoe UI" w:hAnsi="Segoe UI" w:cs="Segoe UI"/>
      <w:sz w:val="18"/>
      <w:szCs w:val="18"/>
    </w:rPr>
  </w:style>
  <w:style w:type="character" w:customStyle="1" w:styleId="Heading3Char">
    <w:name w:val="Heading 3 Char"/>
    <w:basedOn w:val="DefaultParagraphFont"/>
    <w:link w:val="Heading3"/>
    <w:uiPriority w:val="99"/>
    <w:rsid w:val="00C11AD6"/>
    <w:rPr>
      <w:rFonts w:ascii="Cambria" w:eastAsia="SimSun" w:hAnsi="Cambria" w:cs="Times New Roman"/>
      <w:b/>
      <w:bCs/>
      <w:color w:val="4F81BD"/>
      <w:lang w:val="de-DE" w:eastAsia="de-DE"/>
    </w:rPr>
  </w:style>
  <w:style w:type="character" w:customStyle="1" w:styleId="Heading2Char">
    <w:name w:val="Heading 2 Char"/>
    <w:basedOn w:val="DefaultParagraphFont"/>
    <w:link w:val="Heading2"/>
    <w:uiPriority w:val="9"/>
    <w:rsid w:val="00C11AD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1745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31745C"/>
    <w:pPr>
      <w:spacing w:after="0" w:line="240" w:lineRule="auto"/>
    </w:pPr>
    <w:rPr>
      <w:sz w:val="20"/>
      <w:szCs w:val="20"/>
    </w:rPr>
  </w:style>
  <w:style w:type="character" w:customStyle="1" w:styleId="FootnoteTextChar">
    <w:name w:val="Footnote Text Char"/>
    <w:basedOn w:val="DefaultParagraphFont"/>
    <w:link w:val="FootnoteText"/>
    <w:uiPriority w:val="99"/>
    <w:rsid w:val="0031745C"/>
    <w:rPr>
      <w:sz w:val="20"/>
      <w:szCs w:val="20"/>
    </w:rPr>
  </w:style>
  <w:style w:type="character" w:styleId="FootnoteReference">
    <w:name w:val="footnote reference"/>
    <w:basedOn w:val="DefaultParagraphFont"/>
    <w:uiPriority w:val="99"/>
    <w:unhideWhenUsed/>
    <w:rsid w:val="0031745C"/>
    <w:rPr>
      <w:vertAlign w:val="superscript"/>
    </w:rPr>
  </w:style>
  <w:style w:type="character" w:styleId="Strong">
    <w:name w:val="Strong"/>
    <w:basedOn w:val="DefaultParagraphFont"/>
    <w:uiPriority w:val="22"/>
    <w:qFormat/>
    <w:rsid w:val="0031745C"/>
    <w:rPr>
      <w:b/>
      <w:bCs/>
    </w:rPr>
  </w:style>
  <w:style w:type="character" w:styleId="CommentReference">
    <w:name w:val="annotation reference"/>
    <w:basedOn w:val="DefaultParagraphFont"/>
    <w:uiPriority w:val="99"/>
    <w:semiHidden/>
    <w:unhideWhenUsed/>
    <w:rsid w:val="00927657"/>
    <w:rPr>
      <w:sz w:val="16"/>
      <w:szCs w:val="16"/>
    </w:rPr>
  </w:style>
  <w:style w:type="paragraph" w:styleId="CommentText">
    <w:name w:val="annotation text"/>
    <w:basedOn w:val="Normal"/>
    <w:link w:val="CommentTextChar"/>
    <w:uiPriority w:val="99"/>
    <w:semiHidden/>
    <w:unhideWhenUsed/>
    <w:rsid w:val="00927657"/>
    <w:pPr>
      <w:spacing w:line="240" w:lineRule="auto"/>
    </w:pPr>
    <w:rPr>
      <w:sz w:val="20"/>
      <w:szCs w:val="20"/>
    </w:rPr>
  </w:style>
  <w:style w:type="character" w:customStyle="1" w:styleId="CommentTextChar">
    <w:name w:val="Comment Text Char"/>
    <w:basedOn w:val="DefaultParagraphFont"/>
    <w:link w:val="CommentText"/>
    <w:uiPriority w:val="99"/>
    <w:semiHidden/>
    <w:rsid w:val="00927657"/>
    <w:rPr>
      <w:sz w:val="20"/>
      <w:szCs w:val="20"/>
    </w:rPr>
  </w:style>
  <w:style w:type="paragraph" w:styleId="CommentSubject">
    <w:name w:val="annotation subject"/>
    <w:basedOn w:val="CommentText"/>
    <w:next w:val="CommentText"/>
    <w:link w:val="CommentSubjectChar"/>
    <w:uiPriority w:val="99"/>
    <w:semiHidden/>
    <w:unhideWhenUsed/>
    <w:rsid w:val="00927657"/>
    <w:rPr>
      <w:b/>
      <w:bCs/>
    </w:rPr>
  </w:style>
  <w:style w:type="character" w:customStyle="1" w:styleId="CommentSubjectChar">
    <w:name w:val="Comment Subject Char"/>
    <w:basedOn w:val="CommentTextChar"/>
    <w:link w:val="CommentSubject"/>
    <w:uiPriority w:val="99"/>
    <w:semiHidden/>
    <w:rsid w:val="00927657"/>
    <w:rPr>
      <w:b/>
      <w:bCs/>
      <w:sz w:val="20"/>
      <w:szCs w:val="20"/>
    </w:rPr>
  </w:style>
  <w:style w:type="paragraph" w:styleId="EndnoteText">
    <w:name w:val="endnote text"/>
    <w:basedOn w:val="Normal"/>
    <w:link w:val="EndnoteTextChar"/>
    <w:uiPriority w:val="99"/>
    <w:semiHidden/>
    <w:unhideWhenUsed/>
    <w:rsid w:val="00C95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D72"/>
    <w:rPr>
      <w:sz w:val="20"/>
      <w:szCs w:val="20"/>
    </w:rPr>
  </w:style>
  <w:style w:type="character" w:styleId="EndnoteReference">
    <w:name w:val="endnote reference"/>
    <w:basedOn w:val="DefaultParagraphFont"/>
    <w:uiPriority w:val="99"/>
    <w:semiHidden/>
    <w:unhideWhenUsed/>
    <w:rsid w:val="00C95D72"/>
    <w:rPr>
      <w:vertAlign w:val="superscript"/>
    </w:rPr>
  </w:style>
  <w:style w:type="character" w:customStyle="1" w:styleId="st1">
    <w:name w:val="st1"/>
    <w:basedOn w:val="DefaultParagraphFont"/>
    <w:rsid w:val="00135AF6"/>
  </w:style>
</w:styles>
</file>

<file path=word/webSettings.xml><?xml version="1.0" encoding="utf-8"?>
<w:webSettings xmlns:r="http://schemas.openxmlformats.org/officeDocument/2006/relationships" xmlns:w="http://schemas.openxmlformats.org/wordprocessingml/2006/main">
  <w:divs>
    <w:div w:id="13492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anakis@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hiara.menchise-intern@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2E85-4188-46AA-A39A-EC38AAED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Menchise</dc:creator>
  <cp:lastModifiedBy>Prince Thomas</cp:lastModifiedBy>
  <cp:revision>2</cp:revision>
  <cp:lastPrinted>2018-05-11T09:01:00Z</cp:lastPrinted>
  <dcterms:created xsi:type="dcterms:W3CDTF">2018-05-22T20:49:00Z</dcterms:created>
  <dcterms:modified xsi:type="dcterms:W3CDTF">2018-05-22T20:49:00Z</dcterms:modified>
</cp:coreProperties>
</file>